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1DDF4" w14:textId="4F3097BE" w:rsidR="008F7355" w:rsidRPr="005B724A" w:rsidRDefault="008F7355" w:rsidP="008F7355">
      <w:pPr>
        <w:rPr>
          <w:b/>
          <w:bCs/>
          <w:sz w:val="28"/>
          <w:szCs w:val="28"/>
        </w:rPr>
      </w:pPr>
    </w:p>
    <w:p w14:paraId="146CCBFC" w14:textId="77777777" w:rsidR="008F7355" w:rsidRPr="005B724A" w:rsidRDefault="008F7355" w:rsidP="008F7355"/>
    <w:p w14:paraId="768EBC1A" w14:textId="77777777" w:rsidR="00CF5694" w:rsidRPr="005B724A" w:rsidRDefault="00CF5694" w:rsidP="00CF5694">
      <w:pPr>
        <w:pStyle w:val="FPHeading1"/>
      </w:pPr>
    </w:p>
    <w:p w14:paraId="2D807AEA" w14:textId="77777777" w:rsidR="00CF5694" w:rsidRPr="005B724A" w:rsidRDefault="00CF5694" w:rsidP="00CF5694">
      <w:pPr>
        <w:pStyle w:val="FPHeading1"/>
      </w:pPr>
    </w:p>
    <w:p w14:paraId="34F83295" w14:textId="77777777" w:rsidR="00CF5694" w:rsidRPr="005B724A" w:rsidRDefault="00CF5694" w:rsidP="00CF5694">
      <w:pPr>
        <w:pStyle w:val="FPHeading1"/>
      </w:pPr>
    </w:p>
    <w:p w14:paraId="3F904050" w14:textId="5CD3340B" w:rsidR="00CF5694" w:rsidRPr="005B724A" w:rsidRDefault="00CF5694" w:rsidP="00CF5694">
      <w:pPr>
        <w:pStyle w:val="FPHeading1"/>
      </w:pPr>
      <w:r w:rsidRPr="005B724A">
        <w:rPr>
          <w:noProof/>
          <w:lang w:eastAsia="en-GB"/>
        </w:rPr>
        <w:drawing>
          <wp:anchor distT="0" distB="0" distL="114300" distR="114300" simplePos="0" relativeHeight="251660288" behindDoc="1" locked="0" layoutInCell="1" allowOverlap="1" wp14:anchorId="72E468AA" wp14:editId="7DDC646E">
            <wp:simplePos x="0" y="0"/>
            <wp:positionH relativeFrom="page">
              <wp:posOffset>6223635</wp:posOffset>
            </wp:positionH>
            <wp:positionV relativeFrom="page">
              <wp:posOffset>360045</wp:posOffset>
            </wp:positionV>
            <wp:extent cx="899795" cy="899795"/>
            <wp:effectExtent l="0" t="0" r="0" b="0"/>
            <wp:wrapNone/>
            <wp:docPr id="2" name="Picture 2"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mono-h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87350" w14:textId="77777777" w:rsidR="00CF5694" w:rsidRPr="005B724A" w:rsidRDefault="00CF5694" w:rsidP="00CF5694">
      <w:pPr>
        <w:pStyle w:val="FPHeading2"/>
      </w:pPr>
    </w:p>
    <w:p w14:paraId="7B65B3E1" w14:textId="77777777" w:rsidR="00C4502F" w:rsidRPr="005B724A" w:rsidRDefault="00CF5694" w:rsidP="00CF5694">
      <w:pPr>
        <w:pStyle w:val="FPHeading2"/>
      </w:pPr>
      <w:r w:rsidRPr="005B724A">
        <w:t xml:space="preserve">Lewisham </w:t>
      </w:r>
      <w:r w:rsidR="00C4502F" w:rsidRPr="005B724A">
        <w:t xml:space="preserve">Council </w:t>
      </w:r>
    </w:p>
    <w:p w14:paraId="1C000EF6" w14:textId="07B2CB15" w:rsidR="00CF5694" w:rsidRPr="005B724A" w:rsidRDefault="00CF5694" w:rsidP="00CF5694">
      <w:pPr>
        <w:pStyle w:val="FPHeading2"/>
      </w:pPr>
      <w:r w:rsidRPr="005B724A">
        <w:t xml:space="preserve">Strategic Asset Management Plan </w:t>
      </w:r>
    </w:p>
    <w:p w14:paraId="494ABB4C" w14:textId="030303D8" w:rsidR="00CF5694" w:rsidRPr="005B724A" w:rsidRDefault="00CF5694" w:rsidP="00CF5694">
      <w:pPr>
        <w:pStyle w:val="FPHeading3"/>
      </w:pPr>
      <w:r w:rsidRPr="005B724A">
        <w:t>201</w:t>
      </w:r>
      <w:r w:rsidR="000C5F85">
        <w:t>5</w:t>
      </w:r>
      <w:r w:rsidRPr="005B724A">
        <w:t>-2020</w:t>
      </w:r>
    </w:p>
    <w:p w14:paraId="53003AD5" w14:textId="77777777" w:rsidR="00CF5694" w:rsidRPr="005B724A" w:rsidRDefault="00CF5694" w:rsidP="00CF5694">
      <w:pPr>
        <w:pStyle w:val="FPHeading5"/>
      </w:pPr>
    </w:p>
    <w:p w14:paraId="0B11731F" w14:textId="71792386" w:rsidR="00CF5694" w:rsidRPr="005B724A" w:rsidRDefault="00CF5694" w:rsidP="008F7355"/>
    <w:p w14:paraId="0A8A29FA" w14:textId="77777777" w:rsidR="00CF5694" w:rsidRPr="005B724A" w:rsidRDefault="00CF5694" w:rsidP="008F7355"/>
    <w:p w14:paraId="7D9398FF" w14:textId="77777777" w:rsidR="00CF5694" w:rsidRPr="005B724A" w:rsidRDefault="00CF5694" w:rsidP="008F7355">
      <w:pPr>
        <w:rPr>
          <w:u w:val="single"/>
        </w:rPr>
      </w:pPr>
    </w:p>
    <w:p w14:paraId="05603C8D" w14:textId="77777777" w:rsidR="00CF5694" w:rsidRPr="005B724A" w:rsidRDefault="00CF5694" w:rsidP="008F7355">
      <w:pPr>
        <w:rPr>
          <w:u w:val="single"/>
        </w:rPr>
      </w:pPr>
    </w:p>
    <w:p w14:paraId="7F96D963" w14:textId="77777777" w:rsidR="00CF5694" w:rsidRPr="005B724A" w:rsidRDefault="00CF5694" w:rsidP="008F7355">
      <w:pPr>
        <w:rPr>
          <w:u w:val="single"/>
        </w:rPr>
      </w:pPr>
    </w:p>
    <w:p w14:paraId="7138682E" w14:textId="77777777" w:rsidR="00CF5694" w:rsidRPr="005B724A" w:rsidRDefault="00CF5694" w:rsidP="008F7355">
      <w:pPr>
        <w:rPr>
          <w:u w:val="single"/>
        </w:rPr>
      </w:pPr>
    </w:p>
    <w:p w14:paraId="1FF9BA4B" w14:textId="77777777" w:rsidR="00CF5694" w:rsidRPr="005B724A" w:rsidRDefault="00CF5694" w:rsidP="008F7355">
      <w:pPr>
        <w:rPr>
          <w:color w:val="A6A6A6" w:themeColor="background1" w:themeShade="A6"/>
          <w:u w:val="single"/>
        </w:rPr>
      </w:pPr>
    </w:p>
    <w:p w14:paraId="42BD862D" w14:textId="77777777" w:rsidR="00CF5694" w:rsidRPr="005B724A" w:rsidRDefault="00CF5694" w:rsidP="008F7355">
      <w:pPr>
        <w:rPr>
          <w:color w:val="A6A6A6" w:themeColor="background1" w:themeShade="A6"/>
          <w:u w:val="single"/>
        </w:rPr>
      </w:pPr>
    </w:p>
    <w:p w14:paraId="10B4A0C1" w14:textId="77777777" w:rsidR="00CF5694" w:rsidRPr="005B724A" w:rsidRDefault="00CF5694" w:rsidP="008F7355">
      <w:pPr>
        <w:rPr>
          <w:color w:val="A6A6A6" w:themeColor="background1" w:themeShade="A6"/>
          <w:u w:val="single"/>
        </w:rPr>
      </w:pPr>
    </w:p>
    <w:p w14:paraId="004CB0D8" w14:textId="77777777" w:rsidR="00CF5694" w:rsidRPr="005B724A" w:rsidRDefault="00CF5694" w:rsidP="008F7355">
      <w:pPr>
        <w:rPr>
          <w:color w:val="A6A6A6" w:themeColor="background1" w:themeShade="A6"/>
          <w:u w:val="single"/>
        </w:rPr>
      </w:pPr>
    </w:p>
    <w:p w14:paraId="194DF18E" w14:textId="77777777" w:rsidR="00CF5694" w:rsidRPr="005B724A" w:rsidRDefault="00CF5694" w:rsidP="008F7355">
      <w:pPr>
        <w:rPr>
          <w:color w:val="A6A6A6" w:themeColor="background1" w:themeShade="A6"/>
          <w:u w:val="single"/>
        </w:rPr>
      </w:pPr>
    </w:p>
    <w:p w14:paraId="33291C79" w14:textId="77777777" w:rsidR="00CF5694" w:rsidRPr="005B724A" w:rsidRDefault="00CF5694" w:rsidP="008F7355">
      <w:pPr>
        <w:rPr>
          <w:color w:val="A6A6A6" w:themeColor="background1" w:themeShade="A6"/>
          <w:u w:val="single"/>
        </w:rPr>
      </w:pPr>
    </w:p>
    <w:p w14:paraId="573F1A25" w14:textId="77777777" w:rsidR="00CF5694" w:rsidRPr="005B724A" w:rsidRDefault="00CF5694" w:rsidP="008F7355">
      <w:pPr>
        <w:rPr>
          <w:color w:val="A6A6A6" w:themeColor="background1" w:themeShade="A6"/>
          <w:u w:val="single"/>
        </w:rPr>
      </w:pPr>
    </w:p>
    <w:p w14:paraId="6DB771E8" w14:textId="77777777" w:rsidR="00CF5694" w:rsidRPr="005B724A" w:rsidRDefault="00CF5694" w:rsidP="008F7355">
      <w:pPr>
        <w:rPr>
          <w:color w:val="A6A6A6" w:themeColor="background1" w:themeShade="A6"/>
          <w:u w:val="single"/>
        </w:rPr>
      </w:pPr>
    </w:p>
    <w:p w14:paraId="015739AF" w14:textId="77777777" w:rsidR="00CF5694" w:rsidRPr="005B724A" w:rsidRDefault="00CF5694" w:rsidP="008F7355">
      <w:pPr>
        <w:rPr>
          <w:color w:val="A6A6A6" w:themeColor="background1" w:themeShade="A6"/>
          <w:u w:val="single"/>
        </w:rPr>
      </w:pPr>
    </w:p>
    <w:p w14:paraId="16BBF495" w14:textId="77777777" w:rsidR="00CF5694" w:rsidRPr="005B724A" w:rsidRDefault="00CF5694" w:rsidP="008F7355">
      <w:pPr>
        <w:rPr>
          <w:color w:val="A6A6A6" w:themeColor="background1" w:themeShade="A6"/>
          <w:u w:val="single"/>
        </w:rPr>
      </w:pPr>
    </w:p>
    <w:p w14:paraId="76FA1918" w14:textId="77777777" w:rsidR="00CF5694" w:rsidRPr="005B724A" w:rsidRDefault="00CF5694" w:rsidP="008F7355">
      <w:pPr>
        <w:rPr>
          <w:color w:val="A6A6A6" w:themeColor="background1" w:themeShade="A6"/>
          <w:u w:val="single"/>
        </w:rPr>
      </w:pPr>
    </w:p>
    <w:p w14:paraId="546A6CA5" w14:textId="77777777" w:rsidR="00CF5694" w:rsidRPr="005B724A" w:rsidRDefault="00CF5694" w:rsidP="008F7355">
      <w:pPr>
        <w:rPr>
          <w:color w:val="A6A6A6" w:themeColor="background1" w:themeShade="A6"/>
          <w:u w:val="single"/>
        </w:rPr>
      </w:pPr>
    </w:p>
    <w:p w14:paraId="5C80C75F" w14:textId="77777777" w:rsidR="00CF5694" w:rsidRPr="005B724A" w:rsidRDefault="00CF5694" w:rsidP="008F7355">
      <w:pPr>
        <w:rPr>
          <w:color w:val="A6A6A6" w:themeColor="background1" w:themeShade="A6"/>
          <w:u w:val="single"/>
        </w:rPr>
      </w:pPr>
    </w:p>
    <w:p w14:paraId="6A20F588" w14:textId="0D17BB75" w:rsidR="00CF5694" w:rsidRPr="005B724A" w:rsidRDefault="00CF5694" w:rsidP="004B0D76">
      <w:pPr>
        <w:jc w:val="right"/>
        <w:rPr>
          <w:b/>
          <w:color w:val="A6A6A6" w:themeColor="background1" w:themeShade="A6"/>
          <w:sz w:val="36"/>
          <w:szCs w:val="36"/>
        </w:rPr>
      </w:pPr>
    </w:p>
    <w:p w14:paraId="0CB614E2" w14:textId="77777777" w:rsidR="004B2C85" w:rsidRPr="005B724A" w:rsidRDefault="004B2C85" w:rsidP="004B2C85">
      <w:pPr>
        <w:ind w:left="4320" w:firstLine="720"/>
        <w:rPr>
          <w:color w:val="A6A6A6" w:themeColor="background1" w:themeShade="A6"/>
          <w:u w:val="single"/>
        </w:rPr>
      </w:pPr>
    </w:p>
    <w:p w14:paraId="29011721" w14:textId="145AD560" w:rsidR="009A745D" w:rsidRDefault="00E7597A" w:rsidP="00F34B72">
      <w:pPr>
        <w:pStyle w:val="ListParagraph"/>
        <w:ind w:left="5400"/>
        <w:rPr>
          <w:color w:val="A6A6A6" w:themeColor="background1" w:themeShade="A6"/>
        </w:rPr>
      </w:pPr>
      <w:r w:rsidRPr="005B724A">
        <w:rPr>
          <w:color w:val="A6A6A6" w:themeColor="background1" w:themeShade="A6"/>
        </w:rPr>
        <w:t xml:space="preserve"> </w:t>
      </w:r>
    </w:p>
    <w:p w14:paraId="675339A4" w14:textId="77777777" w:rsidR="002C693E" w:rsidRPr="005B724A" w:rsidRDefault="002C693E" w:rsidP="002C693E">
      <w:pPr>
        <w:pStyle w:val="ListParagraph"/>
        <w:ind w:left="5400"/>
        <w:rPr>
          <w:color w:val="A6A6A6" w:themeColor="background1" w:themeShade="A6"/>
        </w:rPr>
      </w:pPr>
    </w:p>
    <w:p w14:paraId="6CCF4D6C" w14:textId="77777777" w:rsidR="008445B4" w:rsidRDefault="008445B4">
      <w:r>
        <w:br w:type="page"/>
      </w:r>
    </w:p>
    <w:tbl>
      <w:tblPr>
        <w:tblStyle w:val="TableGrid"/>
        <w:tblW w:w="0" w:type="auto"/>
        <w:tblLook w:val="04A0" w:firstRow="1" w:lastRow="0" w:firstColumn="1" w:lastColumn="0" w:noHBand="0" w:noVBand="1"/>
      </w:tblPr>
      <w:tblGrid>
        <w:gridCol w:w="9005"/>
        <w:gridCol w:w="939"/>
      </w:tblGrid>
      <w:tr w:rsidR="003D3179" w:rsidRPr="008445B4" w14:paraId="12A711D4" w14:textId="77777777" w:rsidTr="00E752BA">
        <w:tc>
          <w:tcPr>
            <w:tcW w:w="9005" w:type="dxa"/>
            <w:shd w:val="pct25" w:color="auto" w:fill="auto"/>
          </w:tcPr>
          <w:p w14:paraId="6521FF4F" w14:textId="3DD9EFBF" w:rsidR="003D3179" w:rsidRPr="008445B4" w:rsidRDefault="0079036A" w:rsidP="000F780C">
            <w:pPr>
              <w:rPr>
                <w:b/>
                <w:bCs/>
                <w:sz w:val="24"/>
                <w:szCs w:val="24"/>
              </w:rPr>
            </w:pPr>
            <w:r w:rsidRPr="008445B4">
              <w:rPr>
                <w:b/>
                <w:sz w:val="24"/>
                <w:szCs w:val="24"/>
                <w:highlight w:val="lightGray"/>
              </w:rPr>
              <w:lastRenderedPageBreak/>
              <w:t>CONTENTS</w:t>
            </w:r>
          </w:p>
        </w:tc>
        <w:tc>
          <w:tcPr>
            <w:tcW w:w="939" w:type="dxa"/>
            <w:shd w:val="pct25" w:color="auto" w:fill="auto"/>
          </w:tcPr>
          <w:p w14:paraId="60DCD367" w14:textId="28FA553A" w:rsidR="003D3179" w:rsidRPr="008445B4" w:rsidRDefault="00C21DDD" w:rsidP="00B92D19">
            <w:pPr>
              <w:jc w:val="right"/>
              <w:rPr>
                <w:b/>
                <w:bCs/>
                <w:sz w:val="20"/>
                <w:szCs w:val="20"/>
              </w:rPr>
            </w:pPr>
            <w:r w:rsidRPr="008445B4">
              <w:rPr>
                <w:b/>
                <w:bCs/>
                <w:sz w:val="20"/>
                <w:szCs w:val="20"/>
              </w:rPr>
              <w:t xml:space="preserve">Page </w:t>
            </w:r>
          </w:p>
        </w:tc>
      </w:tr>
      <w:tr w:rsidR="00B92D19" w:rsidRPr="008445B4" w14:paraId="217445FF" w14:textId="77777777" w:rsidTr="00E752BA">
        <w:trPr>
          <w:trHeight w:val="270"/>
        </w:trPr>
        <w:tc>
          <w:tcPr>
            <w:tcW w:w="9005" w:type="dxa"/>
            <w:tcBorders>
              <w:bottom w:val="single" w:sz="4" w:space="0" w:color="auto"/>
            </w:tcBorders>
          </w:tcPr>
          <w:p w14:paraId="57B06A5E" w14:textId="6E9EE1D2" w:rsidR="00B92D19" w:rsidRPr="008445B4" w:rsidRDefault="00B92D19" w:rsidP="000F780C">
            <w:pPr>
              <w:rPr>
                <w:b/>
                <w:bCs/>
                <w:sz w:val="20"/>
                <w:szCs w:val="20"/>
              </w:rPr>
            </w:pPr>
            <w:r w:rsidRPr="008445B4">
              <w:rPr>
                <w:b/>
                <w:bCs/>
                <w:sz w:val="20"/>
                <w:szCs w:val="20"/>
              </w:rPr>
              <w:t>Executive summary</w:t>
            </w:r>
          </w:p>
        </w:tc>
        <w:tc>
          <w:tcPr>
            <w:tcW w:w="939" w:type="dxa"/>
            <w:tcBorders>
              <w:bottom w:val="single" w:sz="4" w:space="0" w:color="auto"/>
            </w:tcBorders>
          </w:tcPr>
          <w:p w14:paraId="25ED737D" w14:textId="21798F87" w:rsidR="00B92D19" w:rsidRPr="008445B4" w:rsidRDefault="002F7B4C" w:rsidP="00B92D19">
            <w:pPr>
              <w:jc w:val="right"/>
              <w:rPr>
                <w:bCs/>
                <w:sz w:val="20"/>
                <w:szCs w:val="20"/>
              </w:rPr>
            </w:pPr>
            <w:r>
              <w:rPr>
                <w:bCs/>
                <w:sz w:val="20"/>
                <w:szCs w:val="20"/>
              </w:rPr>
              <w:t>4</w:t>
            </w:r>
          </w:p>
        </w:tc>
      </w:tr>
      <w:tr w:rsidR="003D3179" w:rsidRPr="008445B4" w14:paraId="57FDF9A1" w14:textId="77777777" w:rsidTr="00E752BA">
        <w:tc>
          <w:tcPr>
            <w:tcW w:w="9005" w:type="dxa"/>
            <w:shd w:val="pct10" w:color="auto" w:fill="auto"/>
          </w:tcPr>
          <w:p w14:paraId="7C29F031" w14:textId="44F701E8" w:rsidR="003D3179" w:rsidRPr="008445B4" w:rsidRDefault="003D3179" w:rsidP="00DF5FCF">
            <w:pPr>
              <w:rPr>
                <w:b/>
                <w:bCs/>
                <w:sz w:val="20"/>
                <w:szCs w:val="20"/>
              </w:rPr>
            </w:pPr>
            <w:r w:rsidRPr="008445B4">
              <w:rPr>
                <w:b/>
                <w:bCs/>
                <w:sz w:val="20"/>
                <w:szCs w:val="20"/>
              </w:rPr>
              <w:t xml:space="preserve">1) </w:t>
            </w:r>
            <w:r w:rsidR="00DF5FCF" w:rsidRPr="008445B4">
              <w:rPr>
                <w:b/>
                <w:bCs/>
                <w:sz w:val="20"/>
                <w:szCs w:val="20"/>
              </w:rPr>
              <w:t>Introduction</w:t>
            </w:r>
          </w:p>
        </w:tc>
        <w:tc>
          <w:tcPr>
            <w:tcW w:w="939" w:type="dxa"/>
            <w:shd w:val="pct10" w:color="auto" w:fill="auto"/>
          </w:tcPr>
          <w:p w14:paraId="77AA369C" w14:textId="613F4F79" w:rsidR="003D3179" w:rsidRPr="008445B4" w:rsidRDefault="003D3179" w:rsidP="00B92D19">
            <w:pPr>
              <w:jc w:val="right"/>
              <w:rPr>
                <w:bCs/>
                <w:sz w:val="20"/>
                <w:szCs w:val="20"/>
              </w:rPr>
            </w:pPr>
          </w:p>
        </w:tc>
      </w:tr>
      <w:tr w:rsidR="003D3179" w:rsidRPr="008445B4" w14:paraId="278EEFF3" w14:textId="77777777" w:rsidTr="00E752BA">
        <w:tc>
          <w:tcPr>
            <w:tcW w:w="9005" w:type="dxa"/>
          </w:tcPr>
          <w:p w14:paraId="455E722D" w14:textId="0C826FB5" w:rsidR="003D3179" w:rsidRPr="008445B4" w:rsidRDefault="003D3179" w:rsidP="00DF5FCF">
            <w:pPr>
              <w:rPr>
                <w:sz w:val="20"/>
                <w:szCs w:val="20"/>
              </w:rPr>
            </w:pPr>
            <w:r w:rsidRPr="008445B4">
              <w:rPr>
                <w:sz w:val="20"/>
                <w:szCs w:val="20"/>
              </w:rPr>
              <w:t xml:space="preserve">1.1 </w:t>
            </w:r>
            <w:r w:rsidR="00DF5FCF" w:rsidRPr="008445B4">
              <w:rPr>
                <w:sz w:val="20"/>
                <w:szCs w:val="20"/>
              </w:rPr>
              <w:t xml:space="preserve">Scope </w:t>
            </w:r>
          </w:p>
        </w:tc>
        <w:tc>
          <w:tcPr>
            <w:tcW w:w="939" w:type="dxa"/>
          </w:tcPr>
          <w:p w14:paraId="174AB1AD" w14:textId="092FC31C" w:rsidR="003D3179" w:rsidRPr="008445B4" w:rsidRDefault="002F7B4C" w:rsidP="00B92D19">
            <w:pPr>
              <w:tabs>
                <w:tab w:val="left" w:pos="570"/>
              </w:tabs>
              <w:jc w:val="right"/>
              <w:rPr>
                <w:bCs/>
                <w:sz w:val="20"/>
                <w:szCs w:val="20"/>
              </w:rPr>
            </w:pPr>
            <w:r>
              <w:rPr>
                <w:bCs/>
                <w:sz w:val="20"/>
                <w:szCs w:val="20"/>
              </w:rPr>
              <w:t>6</w:t>
            </w:r>
          </w:p>
        </w:tc>
      </w:tr>
      <w:tr w:rsidR="003D3179" w:rsidRPr="008445B4" w14:paraId="715DE65F" w14:textId="77777777" w:rsidTr="00E752BA">
        <w:tc>
          <w:tcPr>
            <w:tcW w:w="9005" w:type="dxa"/>
          </w:tcPr>
          <w:p w14:paraId="3197F64D" w14:textId="1A234D1F" w:rsidR="003D3179" w:rsidRPr="008445B4" w:rsidRDefault="003D3179" w:rsidP="00DF5FCF">
            <w:pPr>
              <w:rPr>
                <w:sz w:val="20"/>
                <w:szCs w:val="20"/>
              </w:rPr>
            </w:pPr>
            <w:r w:rsidRPr="008445B4">
              <w:rPr>
                <w:sz w:val="20"/>
                <w:szCs w:val="20"/>
              </w:rPr>
              <w:t xml:space="preserve">1.2 </w:t>
            </w:r>
            <w:r w:rsidR="00DF5FCF" w:rsidRPr="008445B4">
              <w:rPr>
                <w:sz w:val="20"/>
                <w:szCs w:val="20"/>
              </w:rPr>
              <w:t>Context</w:t>
            </w:r>
          </w:p>
        </w:tc>
        <w:tc>
          <w:tcPr>
            <w:tcW w:w="939" w:type="dxa"/>
          </w:tcPr>
          <w:p w14:paraId="3838AD52" w14:textId="113D1052" w:rsidR="003D3179" w:rsidRPr="008445B4" w:rsidRDefault="002F7B4C" w:rsidP="00B92D19">
            <w:pPr>
              <w:tabs>
                <w:tab w:val="left" w:pos="570"/>
              </w:tabs>
              <w:jc w:val="right"/>
              <w:rPr>
                <w:bCs/>
                <w:sz w:val="20"/>
                <w:szCs w:val="20"/>
              </w:rPr>
            </w:pPr>
            <w:r>
              <w:rPr>
                <w:bCs/>
                <w:sz w:val="20"/>
                <w:szCs w:val="20"/>
              </w:rPr>
              <w:t>6</w:t>
            </w:r>
          </w:p>
        </w:tc>
      </w:tr>
      <w:tr w:rsidR="003D3179" w:rsidRPr="008445B4" w14:paraId="3900E270" w14:textId="77777777" w:rsidTr="00E752BA">
        <w:tc>
          <w:tcPr>
            <w:tcW w:w="9005" w:type="dxa"/>
          </w:tcPr>
          <w:p w14:paraId="3A5BC492" w14:textId="0655E157" w:rsidR="003D3179" w:rsidRPr="008445B4" w:rsidRDefault="003D3179" w:rsidP="00DD2249">
            <w:pPr>
              <w:rPr>
                <w:sz w:val="20"/>
                <w:szCs w:val="20"/>
              </w:rPr>
            </w:pPr>
            <w:r w:rsidRPr="008445B4">
              <w:rPr>
                <w:sz w:val="20"/>
                <w:szCs w:val="20"/>
              </w:rPr>
              <w:t xml:space="preserve">1.3 </w:t>
            </w:r>
            <w:r w:rsidR="00DF5FCF" w:rsidRPr="008445B4">
              <w:rPr>
                <w:sz w:val="20"/>
                <w:szCs w:val="20"/>
              </w:rPr>
              <w:t xml:space="preserve">Links to other </w:t>
            </w:r>
            <w:r w:rsidR="00C21DDD" w:rsidRPr="008445B4">
              <w:rPr>
                <w:sz w:val="20"/>
                <w:szCs w:val="20"/>
              </w:rPr>
              <w:t xml:space="preserve">corporate </w:t>
            </w:r>
            <w:r w:rsidR="00DF5FCF" w:rsidRPr="008445B4">
              <w:rPr>
                <w:sz w:val="20"/>
                <w:szCs w:val="20"/>
              </w:rPr>
              <w:t>strategies</w:t>
            </w:r>
          </w:p>
        </w:tc>
        <w:tc>
          <w:tcPr>
            <w:tcW w:w="939" w:type="dxa"/>
          </w:tcPr>
          <w:p w14:paraId="6B8DC664" w14:textId="7EBC2DE3" w:rsidR="003D3179" w:rsidRPr="008445B4" w:rsidRDefault="002F7B4C" w:rsidP="00B92D19">
            <w:pPr>
              <w:tabs>
                <w:tab w:val="left" w:pos="570"/>
              </w:tabs>
              <w:jc w:val="right"/>
              <w:rPr>
                <w:bCs/>
                <w:sz w:val="20"/>
                <w:szCs w:val="20"/>
              </w:rPr>
            </w:pPr>
            <w:r>
              <w:rPr>
                <w:bCs/>
                <w:sz w:val="20"/>
                <w:szCs w:val="20"/>
              </w:rPr>
              <w:t>7</w:t>
            </w:r>
          </w:p>
        </w:tc>
      </w:tr>
      <w:tr w:rsidR="003D3179" w:rsidRPr="008445B4" w14:paraId="0D8DCE12" w14:textId="77777777" w:rsidTr="00E752BA">
        <w:tc>
          <w:tcPr>
            <w:tcW w:w="9005" w:type="dxa"/>
            <w:shd w:val="pct10" w:color="auto" w:fill="auto"/>
          </w:tcPr>
          <w:p w14:paraId="394D6181" w14:textId="2A6F3C3A" w:rsidR="003D3179" w:rsidRPr="008445B4" w:rsidRDefault="003D3179" w:rsidP="00EA7737">
            <w:pPr>
              <w:rPr>
                <w:b/>
                <w:bCs/>
                <w:sz w:val="20"/>
                <w:szCs w:val="20"/>
              </w:rPr>
            </w:pPr>
            <w:r w:rsidRPr="008445B4">
              <w:rPr>
                <w:b/>
                <w:sz w:val="20"/>
                <w:szCs w:val="20"/>
              </w:rPr>
              <w:t xml:space="preserve">2) </w:t>
            </w:r>
            <w:r w:rsidR="00EA7737">
              <w:rPr>
                <w:b/>
                <w:sz w:val="20"/>
                <w:szCs w:val="20"/>
              </w:rPr>
              <w:t xml:space="preserve">Summary of </w:t>
            </w:r>
            <w:r w:rsidR="00C21DDD" w:rsidRPr="008445B4">
              <w:rPr>
                <w:b/>
                <w:bCs/>
                <w:sz w:val="20"/>
                <w:szCs w:val="20"/>
              </w:rPr>
              <w:t>assets</w:t>
            </w:r>
            <w:r w:rsidRPr="008445B4">
              <w:rPr>
                <w:b/>
                <w:bCs/>
                <w:sz w:val="20"/>
                <w:szCs w:val="20"/>
              </w:rPr>
              <w:tab/>
            </w:r>
            <w:r w:rsidRPr="008445B4">
              <w:rPr>
                <w:b/>
                <w:bCs/>
                <w:sz w:val="20"/>
                <w:szCs w:val="20"/>
              </w:rPr>
              <w:tab/>
            </w:r>
          </w:p>
        </w:tc>
        <w:tc>
          <w:tcPr>
            <w:tcW w:w="939" w:type="dxa"/>
            <w:shd w:val="pct10" w:color="auto" w:fill="auto"/>
          </w:tcPr>
          <w:p w14:paraId="3713CC35" w14:textId="60E7D785" w:rsidR="003D3179" w:rsidRPr="008445B4" w:rsidRDefault="003D3179" w:rsidP="00B92D19">
            <w:pPr>
              <w:tabs>
                <w:tab w:val="left" w:pos="570"/>
              </w:tabs>
              <w:jc w:val="right"/>
              <w:rPr>
                <w:bCs/>
                <w:sz w:val="20"/>
                <w:szCs w:val="20"/>
              </w:rPr>
            </w:pPr>
          </w:p>
        </w:tc>
      </w:tr>
      <w:tr w:rsidR="003D3179" w:rsidRPr="008445B4" w14:paraId="251BA8D2" w14:textId="77777777" w:rsidTr="00E752BA">
        <w:tc>
          <w:tcPr>
            <w:tcW w:w="9005" w:type="dxa"/>
          </w:tcPr>
          <w:p w14:paraId="58C6B7B3" w14:textId="20DCCD4C" w:rsidR="003D3179" w:rsidRPr="008445B4" w:rsidRDefault="003D3179" w:rsidP="00C21DDD">
            <w:pPr>
              <w:rPr>
                <w:bCs/>
                <w:sz w:val="20"/>
                <w:szCs w:val="20"/>
              </w:rPr>
            </w:pPr>
            <w:r w:rsidRPr="008445B4">
              <w:rPr>
                <w:sz w:val="20"/>
                <w:szCs w:val="20"/>
              </w:rPr>
              <w:t xml:space="preserve">2.1 </w:t>
            </w:r>
            <w:r w:rsidRPr="008445B4">
              <w:rPr>
                <w:bCs/>
                <w:sz w:val="20"/>
                <w:szCs w:val="20"/>
              </w:rPr>
              <w:t>S</w:t>
            </w:r>
            <w:r w:rsidR="00C21DDD" w:rsidRPr="008445B4">
              <w:rPr>
                <w:bCs/>
                <w:sz w:val="20"/>
                <w:szCs w:val="20"/>
              </w:rPr>
              <w:t>ummary</w:t>
            </w:r>
          </w:p>
        </w:tc>
        <w:tc>
          <w:tcPr>
            <w:tcW w:w="939" w:type="dxa"/>
          </w:tcPr>
          <w:p w14:paraId="524B12C3" w14:textId="3004F989" w:rsidR="003D3179" w:rsidRPr="008445B4" w:rsidRDefault="002F7B4C" w:rsidP="00B92D19">
            <w:pPr>
              <w:tabs>
                <w:tab w:val="left" w:pos="570"/>
              </w:tabs>
              <w:jc w:val="right"/>
              <w:rPr>
                <w:bCs/>
                <w:sz w:val="20"/>
                <w:szCs w:val="20"/>
              </w:rPr>
            </w:pPr>
            <w:r>
              <w:rPr>
                <w:bCs/>
                <w:sz w:val="20"/>
                <w:szCs w:val="20"/>
              </w:rPr>
              <w:t>9</w:t>
            </w:r>
          </w:p>
        </w:tc>
      </w:tr>
      <w:tr w:rsidR="003D3179" w:rsidRPr="008445B4" w14:paraId="767184AD" w14:textId="77777777" w:rsidTr="00E752BA">
        <w:tc>
          <w:tcPr>
            <w:tcW w:w="9005" w:type="dxa"/>
          </w:tcPr>
          <w:p w14:paraId="31283BEF" w14:textId="1AB0E026" w:rsidR="003D3179" w:rsidRPr="008445B4" w:rsidRDefault="003D3179" w:rsidP="0062710E">
            <w:pPr>
              <w:rPr>
                <w:bCs/>
                <w:sz w:val="20"/>
                <w:szCs w:val="20"/>
              </w:rPr>
            </w:pPr>
            <w:r w:rsidRPr="008445B4">
              <w:rPr>
                <w:sz w:val="20"/>
                <w:szCs w:val="20"/>
              </w:rPr>
              <w:t xml:space="preserve">2.2 </w:t>
            </w:r>
            <w:r w:rsidR="0062710E" w:rsidRPr="008445B4">
              <w:rPr>
                <w:sz w:val="20"/>
                <w:szCs w:val="20"/>
              </w:rPr>
              <w:t>Housing</w:t>
            </w:r>
          </w:p>
        </w:tc>
        <w:tc>
          <w:tcPr>
            <w:tcW w:w="939" w:type="dxa"/>
          </w:tcPr>
          <w:p w14:paraId="03D3FBDA" w14:textId="0E750CAB" w:rsidR="003D3179" w:rsidRPr="008445B4" w:rsidRDefault="002F7B4C" w:rsidP="00B92D19">
            <w:pPr>
              <w:tabs>
                <w:tab w:val="left" w:pos="570"/>
              </w:tabs>
              <w:jc w:val="right"/>
              <w:rPr>
                <w:bCs/>
                <w:sz w:val="20"/>
                <w:szCs w:val="20"/>
              </w:rPr>
            </w:pPr>
            <w:r>
              <w:rPr>
                <w:bCs/>
                <w:sz w:val="20"/>
                <w:szCs w:val="20"/>
              </w:rPr>
              <w:t>9</w:t>
            </w:r>
          </w:p>
        </w:tc>
      </w:tr>
      <w:tr w:rsidR="003D3179" w:rsidRPr="008445B4" w14:paraId="6FB3EB7D" w14:textId="77777777" w:rsidTr="00E752BA">
        <w:tc>
          <w:tcPr>
            <w:tcW w:w="9005" w:type="dxa"/>
            <w:tcBorders>
              <w:bottom w:val="single" w:sz="4" w:space="0" w:color="auto"/>
            </w:tcBorders>
          </w:tcPr>
          <w:p w14:paraId="7BFBE0AC" w14:textId="0953164B" w:rsidR="003D3179" w:rsidRPr="008445B4" w:rsidRDefault="003D3179" w:rsidP="00EA7737">
            <w:pPr>
              <w:rPr>
                <w:bCs/>
                <w:sz w:val="20"/>
                <w:szCs w:val="20"/>
              </w:rPr>
            </w:pPr>
            <w:r w:rsidRPr="008445B4">
              <w:rPr>
                <w:sz w:val="20"/>
                <w:szCs w:val="20"/>
              </w:rPr>
              <w:t xml:space="preserve">2.3 </w:t>
            </w:r>
            <w:r w:rsidR="00EA7737">
              <w:rPr>
                <w:sz w:val="20"/>
                <w:szCs w:val="20"/>
              </w:rPr>
              <w:t>Register of n</w:t>
            </w:r>
            <w:r w:rsidR="0062710E" w:rsidRPr="008445B4">
              <w:rPr>
                <w:sz w:val="20"/>
                <w:szCs w:val="20"/>
              </w:rPr>
              <w:t>on-housing property assets</w:t>
            </w:r>
          </w:p>
        </w:tc>
        <w:tc>
          <w:tcPr>
            <w:tcW w:w="939" w:type="dxa"/>
          </w:tcPr>
          <w:p w14:paraId="26178772" w14:textId="4E5D4632" w:rsidR="003D3179" w:rsidRPr="008445B4" w:rsidRDefault="002F7B4C" w:rsidP="00B92D19">
            <w:pPr>
              <w:tabs>
                <w:tab w:val="left" w:pos="570"/>
              </w:tabs>
              <w:jc w:val="right"/>
              <w:rPr>
                <w:bCs/>
                <w:sz w:val="20"/>
                <w:szCs w:val="20"/>
              </w:rPr>
            </w:pPr>
            <w:r>
              <w:rPr>
                <w:bCs/>
                <w:sz w:val="20"/>
                <w:szCs w:val="20"/>
              </w:rPr>
              <w:t>10</w:t>
            </w:r>
          </w:p>
        </w:tc>
      </w:tr>
      <w:tr w:rsidR="0062710E" w:rsidRPr="008445B4" w14:paraId="680AA076" w14:textId="77777777" w:rsidTr="00E752BA">
        <w:tc>
          <w:tcPr>
            <w:tcW w:w="9005" w:type="dxa"/>
            <w:tcBorders>
              <w:bottom w:val="single" w:sz="4" w:space="0" w:color="auto"/>
            </w:tcBorders>
          </w:tcPr>
          <w:p w14:paraId="3582AC38" w14:textId="230614B1" w:rsidR="0062710E" w:rsidRPr="008445B4" w:rsidRDefault="0062710E" w:rsidP="00655AAB">
            <w:pPr>
              <w:rPr>
                <w:sz w:val="20"/>
                <w:szCs w:val="20"/>
              </w:rPr>
            </w:pPr>
            <w:r w:rsidRPr="008445B4">
              <w:rPr>
                <w:sz w:val="20"/>
                <w:szCs w:val="20"/>
              </w:rPr>
              <w:t xml:space="preserve">2.4 </w:t>
            </w:r>
            <w:r w:rsidR="00655AAB" w:rsidRPr="008445B4">
              <w:rPr>
                <w:sz w:val="20"/>
                <w:szCs w:val="20"/>
              </w:rPr>
              <w:t>Source data for the asset register</w:t>
            </w:r>
          </w:p>
        </w:tc>
        <w:tc>
          <w:tcPr>
            <w:tcW w:w="939" w:type="dxa"/>
          </w:tcPr>
          <w:p w14:paraId="7115AFEA" w14:textId="76BFC724" w:rsidR="0062710E" w:rsidRPr="008445B4" w:rsidRDefault="002F7B4C" w:rsidP="00B92D19">
            <w:pPr>
              <w:tabs>
                <w:tab w:val="left" w:pos="570"/>
              </w:tabs>
              <w:jc w:val="right"/>
              <w:rPr>
                <w:bCs/>
                <w:sz w:val="20"/>
                <w:szCs w:val="20"/>
              </w:rPr>
            </w:pPr>
            <w:r>
              <w:rPr>
                <w:bCs/>
                <w:sz w:val="20"/>
                <w:szCs w:val="20"/>
              </w:rPr>
              <w:t>11</w:t>
            </w:r>
          </w:p>
        </w:tc>
      </w:tr>
      <w:tr w:rsidR="00EA7737" w:rsidRPr="008445B4" w14:paraId="7FBF9A65" w14:textId="77777777" w:rsidTr="00E752BA">
        <w:tc>
          <w:tcPr>
            <w:tcW w:w="9005" w:type="dxa"/>
            <w:tcBorders>
              <w:bottom w:val="single" w:sz="4" w:space="0" w:color="auto"/>
            </w:tcBorders>
          </w:tcPr>
          <w:p w14:paraId="7162EBBE" w14:textId="035CAB69" w:rsidR="00EA7737" w:rsidRPr="008445B4" w:rsidRDefault="00EA7737" w:rsidP="00655AAB">
            <w:pPr>
              <w:rPr>
                <w:sz w:val="20"/>
                <w:szCs w:val="20"/>
              </w:rPr>
            </w:pPr>
            <w:r>
              <w:rPr>
                <w:sz w:val="20"/>
                <w:szCs w:val="20"/>
              </w:rPr>
              <w:t>2.5 Highways</w:t>
            </w:r>
          </w:p>
        </w:tc>
        <w:tc>
          <w:tcPr>
            <w:tcW w:w="939" w:type="dxa"/>
          </w:tcPr>
          <w:p w14:paraId="7AFABA07" w14:textId="76358B25" w:rsidR="00EA7737" w:rsidRPr="008445B4" w:rsidRDefault="002F7B4C" w:rsidP="00B92D19">
            <w:pPr>
              <w:tabs>
                <w:tab w:val="left" w:pos="570"/>
              </w:tabs>
              <w:jc w:val="right"/>
              <w:rPr>
                <w:bCs/>
                <w:sz w:val="20"/>
                <w:szCs w:val="20"/>
              </w:rPr>
            </w:pPr>
            <w:r>
              <w:rPr>
                <w:bCs/>
                <w:sz w:val="20"/>
                <w:szCs w:val="20"/>
              </w:rPr>
              <w:t>11</w:t>
            </w:r>
          </w:p>
        </w:tc>
      </w:tr>
      <w:tr w:rsidR="003D3179" w:rsidRPr="008445B4" w14:paraId="40287CD3" w14:textId="77777777" w:rsidTr="00E752BA">
        <w:tc>
          <w:tcPr>
            <w:tcW w:w="9005" w:type="dxa"/>
            <w:shd w:val="pct10" w:color="auto" w:fill="auto"/>
          </w:tcPr>
          <w:p w14:paraId="7295B88E" w14:textId="0683EA25" w:rsidR="003D3179" w:rsidRPr="008445B4" w:rsidRDefault="001A3FCE" w:rsidP="003E64FA">
            <w:pPr>
              <w:rPr>
                <w:b/>
                <w:sz w:val="20"/>
                <w:szCs w:val="20"/>
              </w:rPr>
            </w:pPr>
            <w:r w:rsidRPr="008445B4">
              <w:rPr>
                <w:b/>
                <w:sz w:val="20"/>
                <w:szCs w:val="20"/>
              </w:rPr>
              <w:t xml:space="preserve">3) </w:t>
            </w:r>
            <w:r w:rsidR="00301D5C" w:rsidRPr="008445B4">
              <w:rPr>
                <w:b/>
                <w:sz w:val="20"/>
                <w:szCs w:val="20"/>
              </w:rPr>
              <w:t>A</w:t>
            </w:r>
            <w:r w:rsidR="003E64FA" w:rsidRPr="008445B4">
              <w:rPr>
                <w:b/>
                <w:sz w:val="20"/>
                <w:szCs w:val="20"/>
              </w:rPr>
              <w:t>sset management</w:t>
            </w:r>
            <w:r w:rsidR="00301D5C" w:rsidRPr="008445B4">
              <w:rPr>
                <w:b/>
                <w:sz w:val="20"/>
                <w:szCs w:val="20"/>
              </w:rPr>
              <w:t xml:space="preserve"> </w:t>
            </w:r>
            <w:r w:rsidR="0077735F" w:rsidRPr="008445B4">
              <w:rPr>
                <w:b/>
                <w:sz w:val="20"/>
                <w:szCs w:val="20"/>
              </w:rPr>
              <w:t>and accommodation strategy</w:t>
            </w:r>
          </w:p>
        </w:tc>
        <w:tc>
          <w:tcPr>
            <w:tcW w:w="939" w:type="dxa"/>
            <w:shd w:val="pct10" w:color="auto" w:fill="auto"/>
          </w:tcPr>
          <w:p w14:paraId="51302C83" w14:textId="1579FAC7" w:rsidR="003D3179" w:rsidRPr="008445B4" w:rsidRDefault="003D3179" w:rsidP="00B92D19">
            <w:pPr>
              <w:tabs>
                <w:tab w:val="left" w:pos="570"/>
              </w:tabs>
              <w:jc w:val="right"/>
              <w:rPr>
                <w:bCs/>
                <w:sz w:val="20"/>
                <w:szCs w:val="20"/>
              </w:rPr>
            </w:pPr>
          </w:p>
        </w:tc>
      </w:tr>
      <w:tr w:rsidR="003D3179" w:rsidRPr="008445B4" w14:paraId="1B6A83F2" w14:textId="77777777" w:rsidTr="00E752BA">
        <w:tc>
          <w:tcPr>
            <w:tcW w:w="9005" w:type="dxa"/>
          </w:tcPr>
          <w:p w14:paraId="6C497F52" w14:textId="6333B858" w:rsidR="003D3179" w:rsidRPr="008445B4" w:rsidRDefault="001A3FCE" w:rsidP="00EA4AFF">
            <w:pPr>
              <w:rPr>
                <w:sz w:val="20"/>
                <w:szCs w:val="20"/>
              </w:rPr>
            </w:pPr>
            <w:r w:rsidRPr="008445B4">
              <w:rPr>
                <w:sz w:val="20"/>
                <w:szCs w:val="20"/>
              </w:rPr>
              <w:t>3</w:t>
            </w:r>
            <w:r w:rsidR="00E7597A" w:rsidRPr="008445B4">
              <w:rPr>
                <w:sz w:val="20"/>
                <w:szCs w:val="20"/>
              </w:rPr>
              <w:t>.1 Overview</w:t>
            </w:r>
          </w:p>
        </w:tc>
        <w:tc>
          <w:tcPr>
            <w:tcW w:w="939" w:type="dxa"/>
          </w:tcPr>
          <w:p w14:paraId="39660F6C" w14:textId="259AE1DE" w:rsidR="003D3179" w:rsidRPr="008445B4" w:rsidRDefault="002F7B4C" w:rsidP="00B92D19">
            <w:pPr>
              <w:tabs>
                <w:tab w:val="left" w:pos="570"/>
              </w:tabs>
              <w:jc w:val="right"/>
              <w:rPr>
                <w:bCs/>
                <w:sz w:val="20"/>
                <w:szCs w:val="20"/>
              </w:rPr>
            </w:pPr>
            <w:r>
              <w:rPr>
                <w:bCs/>
                <w:sz w:val="20"/>
                <w:szCs w:val="20"/>
              </w:rPr>
              <w:t>12</w:t>
            </w:r>
          </w:p>
        </w:tc>
      </w:tr>
      <w:tr w:rsidR="003E64FA" w:rsidRPr="008445B4" w14:paraId="6A13EA7F" w14:textId="77777777" w:rsidTr="00E752BA">
        <w:tc>
          <w:tcPr>
            <w:tcW w:w="9005" w:type="dxa"/>
          </w:tcPr>
          <w:p w14:paraId="5C8854F3" w14:textId="4139332A" w:rsidR="003E64FA" w:rsidRPr="008445B4" w:rsidRDefault="003E64FA" w:rsidP="00E06354">
            <w:pPr>
              <w:rPr>
                <w:sz w:val="20"/>
                <w:szCs w:val="20"/>
              </w:rPr>
            </w:pPr>
            <w:r w:rsidRPr="008445B4">
              <w:rPr>
                <w:sz w:val="20"/>
                <w:szCs w:val="20"/>
              </w:rPr>
              <w:t>3.</w:t>
            </w:r>
            <w:r w:rsidR="00E06354" w:rsidRPr="008445B4">
              <w:rPr>
                <w:sz w:val="20"/>
                <w:szCs w:val="20"/>
              </w:rPr>
              <w:t>2</w:t>
            </w:r>
            <w:r w:rsidRPr="008445B4">
              <w:rPr>
                <w:sz w:val="20"/>
                <w:szCs w:val="20"/>
              </w:rPr>
              <w:t xml:space="preserve"> </w:t>
            </w:r>
            <w:r w:rsidR="005A6FA9" w:rsidRPr="008445B4">
              <w:rPr>
                <w:sz w:val="20"/>
                <w:szCs w:val="20"/>
              </w:rPr>
              <w:t xml:space="preserve">Effective management of </w:t>
            </w:r>
            <w:r w:rsidRPr="008445B4">
              <w:rPr>
                <w:sz w:val="20"/>
                <w:szCs w:val="20"/>
              </w:rPr>
              <w:t>assets</w:t>
            </w:r>
          </w:p>
          <w:p w14:paraId="65AE5963" w14:textId="026631E6" w:rsidR="005A6FA9" w:rsidRPr="008445B4" w:rsidRDefault="005A6FA9" w:rsidP="00C1048E">
            <w:pPr>
              <w:pStyle w:val="ListParagraph"/>
              <w:numPr>
                <w:ilvl w:val="0"/>
                <w:numId w:val="18"/>
              </w:numPr>
              <w:rPr>
                <w:sz w:val="20"/>
                <w:szCs w:val="20"/>
              </w:rPr>
            </w:pPr>
            <w:r w:rsidRPr="008445B4">
              <w:rPr>
                <w:sz w:val="20"/>
                <w:szCs w:val="20"/>
              </w:rPr>
              <w:t>3.2.1 Data capture, storage and analysis</w:t>
            </w:r>
          </w:p>
          <w:p w14:paraId="6CA818E2" w14:textId="77777777" w:rsidR="005A6FA9" w:rsidRPr="008445B4" w:rsidRDefault="005A6FA9" w:rsidP="00C1048E">
            <w:pPr>
              <w:pStyle w:val="ListParagraph"/>
              <w:numPr>
                <w:ilvl w:val="1"/>
                <w:numId w:val="18"/>
              </w:numPr>
              <w:rPr>
                <w:sz w:val="20"/>
                <w:szCs w:val="20"/>
              </w:rPr>
            </w:pPr>
            <w:r w:rsidRPr="008445B4">
              <w:rPr>
                <w:sz w:val="20"/>
                <w:szCs w:val="20"/>
              </w:rPr>
              <w:t>(i)   Asset Management System</w:t>
            </w:r>
          </w:p>
          <w:p w14:paraId="4C966684" w14:textId="77777777" w:rsidR="005A6FA9" w:rsidRPr="008445B4" w:rsidRDefault="005A6FA9" w:rsidP="00C1048E">
            <w:pPr>
              <w:pStyle w:val="ListParagraph"/>
              <w:numPr>
                <w:ilvl w:val="1"/>
                <w:numId w:val="18"/>
              </w:numPr>
              <w:rPr>
                <w:sz w:val="20"/>
                <w:szCs w:val="20"/>
              </w:rPr>
            </w:pPr>
            <w:r w:rsidRPr="008445B4">
              <w:rPr>
                <w:sz w:val="20"/>
                <w:szCs w:val="20"/>
              </w:rPr>
              <w:t xml:space="preserve">(ii)  Data systems </w:t>
            </w:r>
          </w:p>
          <w:p w14:paraId="518C263F" w14:textId="6043CDD6" w:rsidR="00470E00" w:rsidRPr="008445B4" w:rsidRDefault="00907C48" w:rsidP="00C1048E">
            <w:pPr>
              <w:pStyle w:val="ListParagraph"/>
              <w:numPr>
                <w:ilvl w:val="0"/>
                <w:numId w:val="18"/>
              </w:numPr>
              <w:rPr>
                <w:sz w:val="20"/>
                <w:szCs w:val="20"/>
              </w:rPr>
            </w:pPr>
            <w:r w:rsidRPr="008445B4">
              <w:rPr>
                <w:sz w:val="20"/>
                <w:szCs w:val="20"/>
              </w:rPr>
              <w:t>3.2.</w:t>
            </w:r>
            <w:r w:rsidR="005A6FA9" w:rsidRPr="008445B4">
              <w:rPr>
                <w:sz w:val="20"/>
                <w:szCs w:val="20"/>
              </w:rPr>
              <w:t>2</w:t>
            </w:r>
            <w:r w:rsidRPr="008445B4">
              <w:rPr>
                <w:sz w:val="20"/>
                <w:szCs w:val="20"/>
              </w:rPr>
              <w:t xml:space="preserve"> </w:t>
            </w:r>
            <w:r w:rsidR="00470E00" w:rsidRPr="008445B4">
              <w:rPr>
                <w:sz w:val="20"/>
                <w:szCs w:val="20"/>
              </w:rPr>
              <w:t>Capacity and functions</w:t>
            </w:r>
          </w:p>
          <w:p w14:paraId="2FE29EE9" w14:textId="087C456F" w:rsidR="00907C48" w:rsidRPr="008445B4" w:rsidRDefault="008C45E0" w:rsidP="00C1048E">
            <w:pPr>
              <w:pStyle w:val="ListParagraph"/>
              <w:numPr>
                <w:ilvl w:val="1"/>
                <w:numId w:val="18"/>
              </w:numPr>
              <w:rPr>
                <w:sz w:val="20"/>
                <w:szCs w:val="20"/>
              </w:rPr>
            </w:pPr>
            <w:r w:rsidRPr="008445B4">
              <w:rPr>
                <w:sz w:val="20"/>
                <w:szCs w:val="20"/>
              </w:rPr>
              <w:t xml:space="preserve">(i)   </w:t>
            </w:r>
            <w:r w:rsidR="00907C48" w:rsidRPr="008445B4">
              <w:rPr>
                <w:sz w:val="20"/>
                <w:szCs w:val="20"/>
              </w:rPr>
              <w:t>Reorganisation</w:t>
            </w:r>
          </w:p>
          <w:p w14:paraId="0196A3DB" w14:textId="08FB1637" w:rsidR="00907C48" w:rsidRPr="008445B4" w:rsidRDefault="008C45E0" w:rsidP="00C1048E">
            <w:pPr>
              <w:pStyle w:val="ListParagraph"/>
              <w:numPr>
                <w:ilvl w:val="1"/>
                <w:numId w:val="18"/>
              </w:numPr>
              <w:rPr>
                <w:sz w:val="20"/>
                <w:szCs w:val="20"/>
              </w:rPr>
            </w:pPr>
            <w:r w:rsidRPr="008445B4">
              <w:rPr>
                <w:sz w:val="20"/>
                <w:szCs w:val="20"/>
              </w:rPr>
              <w:t xml:space="preserve">(ii)  </w:t>
            </w:r>
            <w:r w:rsidR="00907C48" w:rsidRPr="008445B4">
              <w:rPr>
                <w:sz w:val="20"/>
                <w:szCs w:val="20"/>
              </w:rPr>
              <w:t xml:space="preserve">Backlog </w:t>
            </w:r>
            <w:r w:rsidR="00016D85" w:rsidRPr="008445B4">
              <w:rPr>
                <w:sz w:val="20"/>
                <w:szCs w:val="20"/>
              </w:rPr>
              <w:t>clearance</w:t>
            </w:r>
          </w:p>
          <w:p w14:paraId="2733393A" w14:textId="4EDC1904" w:rsidR="00470E00" w:rsidRPr="008445B4" w:rsidRDefault="00907C48" w:rsidP="00C1048E">
            <w:pPr>
              <w:pStyle w:val="ListParagraph"/>
              <w:numPr>
                <w:ilvl w:val="0"/>
                <w:numId w:val="18"/>
              </w:numPr>
              <w:rPr>
                <w:sz w:val="20"/>
                <w:szCs w:val="20"/>
              </w:rPr>
            </w:pPr>
            <w:r w:rsidRPr="008445B4">
              <w:rPr>
                <w:sz w:val="20"/>
                <w:szCs w:val="20"/>
              </w:rPr>
              <w:t xml:space="preserve">3.2.3 </w:t>
            </w:r>
            <w:r w:rsidR="00470E00" w:rsidRPr="008445B4">
              <w:rPr>
                <w:sz w:val="20"/>
                <w:szCs w:val="20"/>
              </w:rPr>
              <w:t>Estate management</w:t>
            </w:r>
          </w:p>
          <w:p w14:paraId="1E88E594" w14:textId="4C503416" w:rsidR="00907C48" w:rsidRPr="008445B4" w:rsidRDefault="008C45E0" w:rsidP="00C1048E">
            <w:pPr>
              <w:pStyle w:val="ListParagraph"/>
              <w:numPr>
                <w:ilvl w:val="1"/>
                <w:numId w:val="18"/>
              </w:numPr>
              <w:rPr>
                <w:sz w:val="20"/>
                <w:szCs w:val="20"/>
              </w:rPr>
            </w:pPr>
            <w:r w:rsidRPr="008445B4">
              <w:rPr>
                <w:sz w:val="20"/>
                <w:szCs w:val="20"/>
              </w:rPr>
              <w:t xml:space="preserve">(i)  </w:t>
            </w:r>
            <w:r w:rsidR="00782EE3" w:rsidRPr="008445B4">
              <w:rPr>
                <w:sz w:val="20"/>
                <w:szCs w:val="20"/>
              </w:rPr>
              <w:t>Classification of assets</w:t>
            </w:r>
          </w:p>
          <w:p w14:paraId="49DFD0FB" w14:textId="5A49342B" w:rsidR="00C14D52" w:rsidRPr="008445B4" w:rsidRDefault="00C14D52" w:rsidP="00C1048E">
            <w:pPr>
              <w:pStyle w:val="ListParagraph"/>
              <w:numPr>
                <w:ilvl w:val="1"/>
                <w:numId w:val="18"/>
              </w:numPr>
              <w:rPr>
                <w:sz w:val="20"/>
                <w:szCs w:val="20"/>
              </w:rPr>
            </w:pPr>
            <w:r w:rsidRPr="008445B4">
              <w:rPr>
                <w:sz w:val="20"/>
                <w:szCs w:val="20"/>
              </w:rPr>
              <w:t>(ii) ‘Urban Files’</w:t>
            </w:r>
          </w:p>
          <w:p w14:paraId="72EB9FA9" w14:textId="78470A42" w:rsidR="00907C48" w:rsidRPr="008445B4" w:rsidRDefault="008C45E0" w:rsidP="00C1048E">
            <w:pPr>
              <w:pStyle w:val="ListParagraph"/>
              <w:numPr>
                <w:ilvl w:val="1"/>
                <w:numId w:val="18"/>
              </w:numPr>
              <w:rPr>
                <w:sz w:val="20"/>
                <w:szCs w:val="20"/>
              </w:rPr>
            </w:pPr>
            <w:r w:rsidRPr="008445B4">
              <w:rPr>
                <w:sz w:val="20"/>
                <w:szCs w:val="20"/>
              </w:rPr>
              <w:t>(i</w:t>
            </w:r>
            <w:r w:rsidR="00C14D52" w:rsidRPr="008445B4">
              <w:rPr>
                <w:sz w:val="20"/>
                <w:szCs w:val="20"/>
              </w:rPr>
              <w:t>i</w:t>
            </w:r>
            <w:r w:rsidRPr="008445B4">
              <w:rPr>
                <w:sz w:val="20"/>
                <w:szCs w:val="20"/>
              </w:rPr>
              <w:t xml:space="preserve">i) </w:t>
            </w:r>
            <w:r w:rsidR="00907C48" w:rsidRPr="008445B4">
              <w:rPr>
                <w:sz w:val="20"/>
                <w:szCs w:val="20"/>
              </w:rPr>
              <w:t>Third sector and community assets</w:t>
            </w:r>
          </w:p>
          <w:p w14:paraId="09E20A2F" w14:textId="77777777" w:rsidR="000F64C3" w:rsidRPr="008445B4" w:rsidRDefault="00907C48" w:rsidP="00C1048E">
            <w:pPr>
              <w:pStyle w:val="ListParagraph"/>
              <w:numPr>
                <w:ilvl w:val="0"/>
                <w:numId w:val="18"/>
              </w:numPr>
              <w:rPr>
                <w:sz w:val="20"/>
                <w:szCs w:val="20"/>
              </w:rPr>
            </w:pPr>
            <w:r w:rsidRPr="008445B4">
              <w:rPr>
                <w:sz w:val="20"/>
                <w:szCs w:val="20"/>
              </w:rPr>
              <w:t xml:space="preserve">3.2.4 </w:t>
            </w:r>
            <w:r w:rsidR="00C867E5" w:rsidRPr="008445B4">
              <w:rPr>
                <w:sz w:val="20"/>
                <w:szCs w:val="20"/>
              </w:rPr>
              <w:t>Governance and p</w:t>
            </w:r>
            <w:r w:rsidR="000F64C3" w:rsidRPr="008445B4">
              <w:rPr>
                <w:sz w:val="20"/>
                <w:szCs w:val="20"/>
              </w:rPr>
              <w:t>artnerships</w:t>
            </w:r>
          </w:p>
          <w:p w14:paraId="53F2BDD0" w14:textId="7011AC29" w:rsidR="00907C48" w:rsidRPr="008445B4" w:rsidRDefault="008C45E0" w:rsidP="00C1048E">
            <w:pPr>
              <w:pStyle w:val="ListParagraph"/>
              <w:numPr>
                <w:ilvl w:val="1"/>
                <w:numId w:val="18"/>
              </w:numPr>
              <w:rPr>
                <w:sz w:val="20"/>
                <w:szCs w:val="20"/>
              </w:rPr>
            </w:pPr>
            <w:r w:rsidRPr="008445B4">
              <w:rPr>
                <w:sz w:val="20"/>
                <w:szCs w:val="20"/>
              </w:rPr>
              <w:t xml:space="preserve">(i)   </w:t>
            </w:r>
            <w:r w:rsidR="00907C48" w:rsidRPr="008445B4">
              <w:rPr>
                <w:sz w:val="20"/>
                <w:szCs w:val="20"/>
              </w:rPr>
              <w:t xml:space="preserve">New </w:t>
            </w:r>
            <w:r w:rsidR="00CA7209" w:rsidRPr="008445B4">
              <w:rPr>
                <w:sz w:val="20"/>
                <w:szCs w:val="20"/>
              </w:rPr>
              <w:t>corporate governance arrangements</w:t>
            </w:r>
          </w:p>
          <w:p w14:paraId="26A0E3F4" w14:textId="15652A49" w:rsidR="00907C48" w:rsidRPr="008445B4" w:rsidRDefault="008C45E0" w:rsidP="00C1048E">
            <w:pPr>
              <w:pStyle w:val="ListParagraph"/>
              <w:numPr>
                <w:ilvl w:val="1"/>
                <w:numId w:val="18"/>
              </w:numPr>
              <w:rPr>
                <w:sz w:val="20"/>
                <w:szCs w:val="20"/>
              </w:rPr>
            </w:pPr>
            <w:r w:rsidRPr="008445B4">
              <w:rPr>
                <w:sz w:val="20"/>
                <w:szCs w:val="20"/>
              </w:rPr>
              <w:t xml:space="preserve">(ii)  </w:t>
            </w:r>
            <w:r w:rsidR="00253875" w:rsidRPr="008445B4">
              <w:rPr>
                <w:sz w:val="20"/>
                <w:szCs w:val="20"/>
              </w:rPr>
              <w:t>Partner</w:t>
            </w:r>
            <w:r w:rsidR="00081594" w:rsidRPr="008445B4">
              <w:rPr>
                <w:sz w:val="20"/>
                <w:szCs w:val="20"/>
              </w:rPr>
              <w:t>ships</w:t>
            </w:r>
            <w:r w:rsidR="00253875" w:rsidRPr="008445B4">
              <w:rPr>
                <w:sz w:val="20"/>
                <w:szCs w:val="20"/>
              </w:rPr>
              <w:t xml:space="preserve"> </w:t>
            </w:r>
          </w:p>
          <w:p w14:paraId="7F9D73C0" w14:textId="648CC17A" w:rsidR="00907C48" w:rsidRPr="008445B4" w:rsidRDefault="008C45E0" w:rsidP="00C1048E">
            <w:pPr>
              <w:pStyle w:val="ListParagraph"/>
              <w:numPr>
                <w:ilvl w:val="1"/>
                <w:numId w:val="18"/>
              </w:numPr>
              <w:rPr>
                <w:sz w:val="20"/>
                <w:szCs w:val="20"/>
              </w:rPr>
            </w:pPr>
            <w:r w:rsidRPr="008445B4">
              <w:rPr>
                <w:sz w:val="20"/>
                <w:szCs w:val="20"/>
              </w:rPr>
              <w:t xml:space="preserve">(iii) </w:t>
            </w:r>
            <w:r w:rsidR="00253875" w:rsidRPr="008445B4">
              <w:rPr>
                <w:sz w:val="20"/>
                <w:szCs w:val="20"/>
              </w:rPr>
              <w:t>Schools estate</w:t>
            </w:r>
          </w:p>
        </w:tc>
        <w:tc>
          <w:tcPr>
            <w:tcW w:w="939" w:type="dxa"/>
          </w:tcPr>
          <w:p w14:paraId="566E8C94" w14:textId="7914C983" w:rsidR="003E64FA" w:rsidRPr="008445B4" w:rsidRDefault="002F7B4C" w:rsidP="00B92D19">
            <w:pPr>
              <w:tabs>
                <w:tab w:val="left" w:pos="570"/>
              </w:tabs>
              <w:jc w:val="right"/>
              <w:rPr>
                <w:bCs/>
                <w:sz w:val="20"/>
                <w:szCs w:val="20"/>
              </w:rPr>
            </w:pPr>
            <w:r>
              <w:rPr>
                <w:bCs/>
                <w:sz w:val="20"/>
                <w:szCs w:val="20"/>
              </w:rPr>
              <w:t>12</w:t>
            </w:r>
          </w:p>
        </w:tc>
      </w:tr>
      <w:tr w:rsidR="00C21DDD" w:rsidRPr="008445B4" w14:paraId="1FE87764" w14:textId="77777777" w:rsidTr="00E752BA">
        <w:tc>
          <w:tcPr>
            <w:tcW w:w="9005" w:type="dxa"/>
          </w:tcPr>
          <w:p w14:paraId="64610E8F" w14:textId="2A3B2B94" w:rsidR="00C21DDD" w:rsidRPr="008445B4" w:rsidRDefault="00C21DDD" w:rsidP="00E06354">
            <w:pPr>
              <w:rPr>
                <w:sz w:val="20"/>
                <w:szCs w:val="20"/>
              </w:rPr>
            </w:pPr>
            <w:r w:rsidRPr="008445B4">
              <w:rPr>
                <w:sz w:val="20"/>
                <w:szCs w:val="20"/>
              </w:rPr>
              <w:t>3.</w:t>
            </w:r>
            <w:r w:rsidR="00E06354" w:rsidRPr="008445B4">
              <w:rPr>
                <w:sz w:val="20"/>
                <w:szCs w:val="20"/>
              </w:rPr>
              <w:t>3</w:t>
            </w:r>
            <w:r w:rsidRPr="008445B4">
              <w:rPr>
                <w:sz w:val="20"/>
                <w:szCs w:val="20"/>
              </w:rPr>
              <w:t xml:space="preserve"> </w:t>
            </w:r>
            <w:r w:rsidR="00301D5C" w:rsidRPr="008445B4">
              <w:rPr>
                <w:sz w:val="20"/>
                <w:szCs w:val="20"/>
              </w:rPr>
              <w:t>Accommodation strategy</w:t>
            </w:r>
            <w:r w:rsidR="00AB07D1" w:rsidRPr="008445B4">
              <w:rPr>
                <w:sz w:val="20"/>
                <w:szCs w:val="20"/>
              </w:rPr>
              <w:t xml:space="preserve"> for the operational estate</w:t>
            </w:r>
          </w:p>
          <w:p w14:paraId="397D599D" w14:textId="48208226" w:rsidR="000F64C3" w:rsidRPr="008445B4" w:rsidRDefault="00907C48" w:rsidP="00C1048E">
            <w:pPr>
              <w:pStyle w:val="ListParagraph"/>
              <w:numPr>
                <w:ilvl w:val="0"/>
                <w:numId w:val="19"/>
              </w:numPr>
              <w:rPr>
                <w:sz w:val="20"/>
                <w:szCs w:val="20"/>
              </w:rPr>
            </w:pPr>
            <w:r w:rsidRPr="008445B4">
              <w:rPr>
                <w:sz w:val="20"/>
                <w:szCs w:val="20"/>
              </w:rPr>
              <w:t xml:space="preserve">3.3.1 </w:t>
            </w:r>
            <w:r w:rsidR="000F64C3" w:rsidRPr="008445B4">
              <w:rPr>
                <w:sz w:val="20"/>
                <w:szCs w:val="20"/>
              </w:rPr>
              <w:t>Asset optimisation</w:t>
            </w:r>
          </w:p>
          <w:p w14:paraId="04BC5549" w14:textId="70E094FC" w:rsidR="00907C48" w:rsidRPr="008445B4" w:rsidRDefault="008C45E0" w:rsidP="00C1048E">
            <w:pPr>
              <w:pStyle w:val="ListParagraph"/>
              <w:numPr>
                <w:ilvl w:val="1"/>
                <w:numId w:val="19"/>
              </w:numPr>
              <w:rPr>
                <w:sz w:val="20"/>
                <w:szCs w:val="20"/>
              </w:rPr>
            </w:pPr>
            <w:r w:rsidRPr="008445B4">
              <w:rPr>
                <w:sz w:val="20"/>
                <w:szCs w:val="20"/>
              </w:rPr>
              <w:t xml:space="preserve">(i)   </w:t>
            </w:r>
            <w:r w:rsidR="00435FE6" w:rsidRPr="008445B4">
              <w:rPr>
                <w:sz w:val="20"/>
                <w:szCs w:val="20"/>
              </w:rPr>
              <w:t>Re</w:t>
            </w:r>
            <w:r w:rsidR="0079036A" w:rsidRPr="008445B4">
              <w:rPr>
                <w:sz w:val="20"/>
                <w:szCs w:val="20"/>
              </w:rPr>
              <w:t>focus of the operational estate</w:t>
            </w:r>
          </w:p>
          <w:p w14:paraId="405F25AF" w14:textId="5C5EDBB9" w:rsidR="00907C48" w:rsidRPr="008445B4" w:rsidRDefault="0079036A" w:rsidP="00C1048E">
            <w:pPr>
              <w:pStyle w:val="ListParagraph"/>
              <w:numPr>
                <w:ilvl w:val="1"/>
                <w:numId w:val="18"/>
              </w:numPr>
              <w:rPr>
                <w:sz w:val="20"/>
                <w:szCs w:val="20"/>
              </w:rPr>
            </w:pPr>
            <w:r w:rsidRPr="008445B4">
              <w:rPr>
                <w:sz w:val="20"/>
                <w:szCs w:val="20"/>
              </w:rPr>
              <w:t>(ii) New income opportunities</w:t>
            </w:r>
          </w:p>
          <w:p w14:paraId="4ED18E18" w14:textId="70331441" w:rsidR="00470E00" w:rsidRPr="008445B4" w:rsidRDefault="00907C48" w:rsidP="00C1048E">
            <w:pPr>
              <w:pStyle w:val="ListParagraph"/>
              <w:numPr>
                <w:ilvl w:val="0"/>
                <w:numId w:val="19"/>
              </w:numPr>
              <w:rPr>
                <w:sz w:val="20"/>
                <w:szCs w:val="20"/>
              </w:rPr>
            </w:pPr>
            <w:r w:rsidRPr="008445B4">
              <w:rPr>
                <w:sz w:val="20"/>
                <w:szCs w:val="20"/>
              </w:rPr>
              <w:t xml:space="preserve">3.3.2 </w:t>
            </w:r>
            <w:r w:rsidR="00470E00" w:rsidRPr="008445B4">
              <w:rPr>
                <w:sz w:val="20"/>
                <w:szCs w:val="20"/>
              </w:rPr>
              <w:t>F</w:t>
            </w:r>
            <w:r w:rsidR="00607E5F" w:rsidRPr="008445B4">
              <w:rPr>
                <w:sz w:val="20"/>
                <w:szCs w:val="20"/>
              </w:rPr>
              <w:t xml:space="preserve">acilities </w:t>
            </w:r>
            <w:r w:rsidR="00755796" w:rsidRPr="008445B4">
              <w:rPr>
                <w:sz w:val="20"/>
                <w:szCs w:val="20"/>
              </w:rPr>
              <w:t>m</w:t>
            </w:r>
            <w:r w:rsidR="00607E5F" w:rsidRPr="008445B4">
              <w:rPr>
                <w:sz w:val="20"/>
                <w:szCs w:val="20"/>
              </w:rPr>
              <w:t>anagement</w:t>
            </w:r>
          </w:p>
          <w:p w14:paraId="1C9A7BB9" w14:textId="4AB1212E" w:rsidR="00907C48" w:rsidRPr="008445B4" w:rsidRDefault="008C45E0" w:rsidP="00C1048E">
            <w:pPr>
              <w:pStyle w:val="ListParagraph"/>
              <w:numPr>
                <w:ilvl w:val="1"/>
                <w:numId w:val="19"/>
              </w:numPr>
              <w:rPr>
                <w:sz w:val="20"/>
                <w:szCs w:val="20"/>
              </w:rPr>
            </w:pPr>
            <w:r w:rsidRPr="008445B4">
              <w:rPr>
                <w:sz w:val="20"/>
                <w:szCs w:val="20"/>
              </w:rPr>
              <w:t xml:space="preserve">(i)   </w:t>
            </w:r>
            <w:r w:rsidR="00907C48" w:rsidRPr="008445B4">
              <w:rPr>
                <w:sz w:val="20"/>
                <w:szCs w:val="20"/>
              </w:rPr>
              <w:t>2016 realignment</w:t>
            </w:r>
            <w:r w:rsidR="00664689" w:rsidRPr="008445B4">
              <w:rPr>
                <w:sz w:val="20"/>
                <w:szCs w:val="20"/>
              </w:rPr>
              <w:t xml:space="preserve"> of contracts</w:t>
            </w:r>
          </w:p>
          <w:p w14:paraId="00533D29" w14:textId="6F118FEB" w:rsidR="00907C48" w:rsidRPr="008445B4" w:rsidRDefault="008C45E0" w:rsidP="00C1048E">
            <w:pPr>
              <w:pStyle w:val="ListParagraph"/>
              <w:numPr>
                <w:ilvl w:val="1"/>
                <w:numId w:val="19"/>
              </w:numPr>
              <w:rPr>
                <w:sz w:val="20"/>
                <w:szCs w:val="20"/>
              </w:rPr>
            </w:pPr>
            <w:r w:rsidRPr="008445B4">
              <w:rPr>
                <w:sz w:val="20"/>
                <w:szCs w:val="20"/>
              </w:rPr>
              <w:t xml:space="preserve">(ii)  </w:t>
            </w:r>
            <w:r w:rsidR="00907C48" w:rsidRPr="008445B4">
              <w:rPr>
                <w:sz w:val="20"/>
                <w:szCs w:val="20"/>
              </w:rPr>
              <w:t>Integration of functions</w:t>
            </w:r>
          </w:p>
          <w:p w14:paraId="55596FC1" w14:textId="77777777" w:rsidR="000F64C3" w:rsidRPr="008445B4" w:rsidRDefault="00907C48" w:rsidP="00C1048E">
            <w:pPr>
              <w:pStyle w:val="ListParagraph"/>
              <w:numPr>
                <w:ilvl w:val="0"/>
                <w:numId w:val="19"/>
              </w:numPr>
              <w:rPr>
                <w:sz w:val="20"/>
                <w:szCs w:val="20"/>
              </w:rPr>
            </w:pPr>
            <w:r w:rsidRPr="008445B4">
              <w:rPr>
                <w:sz w:val="20"/>
                <w:szCs w:val="20"/>
              </w:rPr>
              <w:t xml:space="preserve">3.3.3 </w:t>
            </w:r>
            <w:r w:rsidR="000F64C3" w:rsidRPr="008445B4">
              <w:rPr>
                <w:sz w:val="20"/>
                <w:szCs w:val="20"/>
              </w:rPr>
              <w:t>A sustainable and efficient estate</w:t>
            </w:r>
          </w:p>
          <w:p w14:paraId="2EEF37C4" w14:textId="7E039383" w:rsidR="00907C48" w:rsidRPr="008445B4" w:rsidRDefault="008C45E0" w:rsidP="00C1048E">
            <w:pPr>
              <w:pStyle w:val="ListParagraph"/>
              <w:numPr>
                <w:ilvl w:val="1"/>
                <w:numId w:val="19"/>
              </w:numPr>
              <w:rPr>
                <w:sz w:val="20"/>
                <w:szCs w:val="20"/>
              </w:rPr>
            </w:pPr>
            <w:r w:rsidRPr="008445B4">
              <w:rPr>
                <w:sz w:val="20"/>
                <w:szCs w:val="20"/>
              </w:rPr>
              <w:t xml:space="preserve">(i)   </w:t>
            </w:r>
            <w:r w:rsidR="00907C48" w:rsidRPr="008445B4">
              <w:rPr>
                <w:sz w:val="20"/>
                <w:szCs w:val="20"/>
              </w:rPr>
              <w:t>Carbon and energy targets</w:t>
            </w:r>
          </w:p>
          <w:p w14:paraId="58F56712" w14:textId="6DD7EE0E" w:rsidR="00907C48" w:rsidRPr="008445B4" w:rsidRDefault="008C45E0" w:rsidP="00C1048E">
            <w:pPr>
              <w:pStyle w:val="ListParagraph"/>
              <w:numPr>
                <w:ilvl w:val="1"/>
                <w:numId w:val="19"/>
              </w:numPr>
              <w:rPr>
                <w:sz w:val="20"/>
                <w:szCs w:val="20"/>
              </w:rPr>
            </w:pPr>
            <w:r w:rsidRPr="008445B4">
              <w:rPr>
                <w:sz w:val="20"/>
                <w:szCs w:val="20"/>
              </w:rPr>
              <w:t xml:space="preserve">(ii)  </w:t>
            </w:r>
            <w:r w:rsidR="00907C48" w:rsidRPr="008445B4">
              <w:rPr>
                <w:sz w:val="20"/>
                <w:szCs w:val="20"/>
              </w:rPr>
              <w:t>Corporate sustainability</w:t>
            </w:r>
          </w:p>
        </w:tc>
        <w:tc>
          <w:tcPr>
            <w:tcW w:w="939" w:type="dxa"/>
          </w:tcPr>
          <w:p w14:paraId="5980090F" w14:textId="5C09CF84" w:rsidR="00C21DDD" w:rsidRPr="008445B4" w:rsidRDefault="00B92D19" w:rsidP="00B92D19">
            <w:pPr>
              <w:tabs>
                <w:tab w:val="left" w:pos="570"/>
              </w:tabs>
              <w:jc w:val="right"/>
              <w:rPr>
                <w:bCs/>
                <w:sz w:val="20"/>
                <w:szCs w:val="20"/>
              </w:rPr>
            </w:pPr>
            <w:r w:rsidRPr="008445B4">
              <w:rPr>
                <w:bCs/>
                <w:sz w:val="20"/>
                <w:szCs w:val="20"/>
              </w:rPr>
              <w:t>21</w:t>
            </w:r>
          </w:p>
        </w:tc>
      </w:tr>
      <w:tr w:rsidR="0079036A" w:rsidRPr="008445B4" w14:paraId="5B11C56D" w14:textId="77777777" w:rsidTr="00B20193">
        <w:tc>
          <w:tcPr>
            <w:tcW w:w="9005" w:type="dxa"/>
          </w:tcPr>
          <w:p w14:paraId="25F0DF95" w14:textId="70473647" w:rsidR="0079036A" w:rsidRPr="008445B4" w:rsidRDefault="0079036A" w:rsidP="00B20193">
            <w:pPr>
              <w:rPr>
                <w:sz w:val="20"/>
                <w:szCs w:val="20"/>
              </w:rPr>
            </w:pPr>
            <w:r w:rsidRPr="008445B4">
              <w:rPr>
                <w:sz w:val="20"/>
                <w:szCs w:val="20"/>
              </w:rPr>
              <w:t>3.4 Compliance and risk</w:t>
            </w:r>
          </w:p>
          <w:p w14:paraId="24BE2FFF" w14:textId="10F2B032" w:rsidR="0079036A" w:rsidRPr="008445B4" w:rsidRDefault="0079036A" w:rsidP="00C1048E">
            <w:pPr>
              <w:pStyle w:val="ListParagraph"/>
              <w:numPr>
                <w:ilvl w:val="0"/>
                <w:numId w:val="34"/>
              </w:numPr>
              <w:rPr>
                <w:sz w:val="20"/>
                <w:szCs w:val="20"/>
              </w:rPr>
            </w:pPr>
            <w:r w:rsidRPr="008445B4">
              <w:rPr>
                <w:sz w:val="20"/>
                <w:szCs w:val="20"/>
              </w:rPr>
              <w:t xml:space="preserve">3.4.1 </w:t>
            </w:r>
            <w:r w:rsidR="000C2712" w:rsidRPr="008445B4">
              <w:rPr>
                <w:sz w:val="20"/>
                <w:szCs w:val="20"/>
              </w:rPr>
              <w:t xml:space="preserve">Fire safety </w:t>
            </w:r>
          </w:p>
          <w:p w14:paraId="4985113A" w14:textId="0A60ECAC" w:rsidR="000C2712" w:rsidRPr="008445B4" w:rsidRDefault="000C2712" w:rsidP="00C1048E">
            <w:pPr>
              <w:pStyle w:val="ListParagraph"/>
              <w:numPr>
                <w:ilvl w:val="0"/>
                <w:numId w:val="34"/>
              </w:numPr>
              <w:rPr>
                <w:sz w:val="20"/>
                <w:szCs w:val="20"/>
              </w:rPr>
            </w:pPr>
            <w:r w:rsidRPr="008445B4">
              <w:rPr>
                <w:sz w:val="20"/>
                <w:szCs w:val="20"/>
              </w:rPr>
              <w:t>3.4.2 Asbestos policy and management plan</w:t>
            </w:r>
          </w:p>
          <w:p w14:paraId="3D648BEA" w14:textId="69FB158E" w:rsidR="000C2712" w:rsidRPr="008445B4" w:rsidRDefault="000C2712" w:rsidP="00C1048E">
            <w:pPr>
              <w:pStyle w:val="ListParagraph"/>
              <w:numPr>
                <w:ilvl w:val="0"/>
                <w:numId w:val="34"/>
              </w:numPr>
              <w:rPr>
                <w:sz w:val="20"/>
                <w:szCs w:val="20"/>
              </w:rPr>
            </w:pPr>
            <w:r w:rsidRPr="008445B4">
              <w:rPr>
                <w:sz w:val="20"/>
                <w:szCs w:val="20"/>
              </w:rPr>
              <w:t>3.4.3 Water hygiene plan</w:t>
            </w:r>
          </w:p>
          <w:p w14:paraId="307214C6" w14:textId="46E28A0E" w:rsidR="000C2712" w:rsidRPr="008445B4" w:rsidRDefault="000C2712" w:rsidP="00C1048E">
            <w:pPr>
              <w:pStyle w:val="ListParagraph"/>
              <w:numPr>
                <w:ilvl w:val="0"/>
                <w:numId w:val="34"/>
              </w:numPr>
              <w:rPr>
                <w:sz w:val="20"/>
                <w:szCs w:val="20"/>
              </w:rPr>
            </w:pPr>
            <w:r w:rsidRPr="008445B4">
              <w:rPr>
                <w:sz w:val="20"/>
                <w:szCs w:val="20"/>
              </w:rPr>
              <w:t xml:space="preserve">3.4.4 </w:t>
            </w:r>
            <w:r w:rsidR="00EA7737">
              <w:rPr>
                <w:sz w:val="20"/>
                <w:szCs w:val="20"/>
              </w:rPr>
              <w:t>Equalities</w:t>
            </w:r>
          </w:p>
          <w:p w14:paraId="1A58BA43" w14:textId="688192CE" w:rsidR="000C2712" w:rsidRPr="008445B4" w:rsidRDefault="000C2712" w:rsidP="00C1048E">
            <w:pPr>
              <w:pStyle w:val="ListParagraph"/>
              <w:numPr>
                <w:ilvl w:val="0"/>
                <w:numId w:val="34"/>
              </w:numPr>
              <w:rPr>
                <w:sz w:val="20"/>
                <w:szCs w:val="20"/>
              </w:rPr>
            </w:pPr>
            <w:r w:rsidRPr="008445B4">
              <w:rPr>
                <w:sz w:val="20"/>
                <w:szCs w:val="20"/>
              </w:rPr>
              <w:t>3.4.5 Energy Performance Certificates</w:t>
            </w:r>
          </w:p>
          <w:p w14:paraId="7926BACF" w14:textId="72343938" w:rsidR="000C2712" w:rsidRPr="008445B4" w:rsidRDefault="000C2712" w:rsidP="00C1048E">
            <w:pPr>
              <w:pStyle w:val="ListParagraph"/>
              <w:numPr>
                <w:ilvl w:val="0"/>
                <w:numId w:val="34"/>
              </w:numPr>
              <w:rPr>
                <w:sz w:val="20"/>
                <w:szCs w:val="20"/>
              </w:rPr>
            </w:pPr>
            <w:r w:rsidRPr="008445B4">
              <w:rPr>
                <w:sz w:val="20"/>
                <w:szCs w:val="20"/>
              </w:rPr>
              <w:t>3.4.6 Staff safety</w:t>
            </w:r>
          </w:p>
          <w:p w14:paraId="1AFF4E33" w14:textId="343D6F16" w:rsidR="0079036A" w:rsidRPr="008445B4" w:rsidRDefault="000C2712" w:rsidP="00C1048E">
            <w:pPr>
              <w:pStyle w:val="ListParagraph"/>
              <w:numPr>
                <w:ilvl w:val="0"/>
                <w:numId w:val="34"/>
              </w:numPr>
              <w:rPr>
                <w:sz w:val="20"/>
                <w:szCs w:val="20"/>
              </w:rPr>
            </w:pPr>
            <w:r w:rsidRPr="008445B4">
              <w:rPr>
                <w:sz w:val="20"/>
                <w:szCs w:val="20"/>
              </w:rPr>
              <w:t>3.4.7 Third party management of assets</w:t>
            </w:r>
          </w:p>
        </w:tc>
        <w:tc>
          <w:tcPr>
            <w:tcW w:w="939" w:type="dxa"/>
          </w:tcPr>
          <w:p w14:paraId="4F67C588" w14:textId="71544680" w:rsidR="0079036A" w:rsidRPr="008445B4" w:rsidRDefault="00B92D19" w:rsidP="00B92D19">
            <w:pPr>
              <w:tabs>
                <w:tab w:val="left" w:pos="570"/>
              </w:tabs>
              <w:jc w:val="right"/>
              <w:rPr>
                <w:bCs/>
                <w:sz w:val="20"/>
                <w:szCs w:val="20"/>
              </w:rPr>
            </w:pPr>
            <w:r w:rsidRPr="008445B4">
              <w:rPr>
                <w:bCs/>
                <w:sz w:val="20"/>
                <w:szCs w:val="20"/>
              </w:rPr>
              <w:t>27</w:t>
            </w:r>
          </w:p>
        </w:tc>
      </w:tr>
      <w:tr w:rsidR="00C21DDD" w:rsidRPr="008445B4" w14:paraId="654331BD" w14:textId="77777777" w:rsidTr="00E752BA">
        <w:tc>
          <w:tcPr>
            <w:tcW w:w="9005" w:type="dxa"/>
          </w:tcPr>
          <w:p w14:paraId="563BF77E" w14:textId="7AF73A1D" w:rsidR="00C21DDD" w:rsidRPr="008445B4" w:rsidRDefault="00C21DDD" w:rsidP="00E06354">
            <w:pPr>
              <w:rPr>
                <w:sz w:val="20"/>
                <w:szCs w:val="20"/>
              </w:rPr>
            </w:pPr>
            <w:r w:rsidRPr="008445B4">
              <w:rPr>
                <w:sz w:val="20"/>
                <w:szCs w:val="20"/>
              </w:rPr>
              <w:t>3.</w:t>
            </w:r>
            <w:r w:rsidR="0079036A" w:rsidRPr="008445B4">
              <w:rPr>
                <w:sz w:val="20"/>
                <w:szCs w:val="20"/>
              </w:rPr>
              <w:t>5</w:t>
            </w:r>
            <w:r w:rsidR="00301D5C" w:rsidRPr="008445B4">
              <w:rPr>
                <w:sz w:val="20"/>
                <w:szCs w:val="20"/>
              </w:rPr>
              <w:t xml:space="preserve"> Commercial estate</w:t>
            </w:r>
          </w:p>
          <w:p w14:paraId="11DCCADE" w14:textId="7900CB29" w:rsidR="00907C48" w:rsidRPr="008445B4" w:rsidRDefault="00907C48" w:rsidP="00C1048E">
            <w:pPr>
              <w:pStyle w:val="ListParagraph"/>
              <w:numPr>
                <w:ilvl w:val="0"/>
                <w:numId w:val="20"/>
              </w:numPr>
              <w:rPr>
                <w:sz w:val="20"/>
                <w:szCs w:val="20"/>
              </w:rPr>
            </w:pPr>
            <w:r w:rsidRPr="008445B4">
              <w:rPr>
                <w:sz w:val="20"/>
                <w:szCs w:val="20"/>
              </w:rPr>
              <w:t>3.</w:t>
            </w:r>
            <w:r w:rsidR="0079036A" w:rsidRPr="008445B4">
              <w:rPr>
                <w:sz w:val="20"/>
                <w:szCs w:val="20"/>
              </w:rPr>
              <w:t>5</w:t>
            </w:r>
            <w:r w:rsidRPr="008445B4">
              <w:rPr>
                <w:sz w:val="20"/>
                <w:szCs w:val="20"/>
              </w:rPr>
              <w:t xml:space="preserve">.1 </w:t>
            </w:r>
            <w:r w:rsidR="00BA7AF2" w:rsidRPr="008445B4">
              <w:rPr>
                <w:sz w:val="20"/>
                <w:szCs w:val="20"/>
              </w:rPr>
              <w:t>Development of underutilised assets</w:t>
            </w:r>
          </w:p>
          <w:p w14:paraId="56093C0F" w14:textId="14DEB3CA" w:rsidR="00BA7AF2" w:rsidRPr="008445B4" w:rsidRDefault="00907C48" w:rsidP="00C1048E">
            <w:pPr>
              <w:pStyle w:val="ListParagraph"/>
              <w:numPr>
                <w:ilvl w:val="0"/>
                <w:numId w:val="20"/>
              </w:numPr>
              <w:rPr>
                <w:sz w:val="20"/>
                <w:szCs w:val="20"/>
              </w:rPr>
            </w:pPr>
            <w:r w:rsidRPr="008445B4">
              <w:rPr>
                <w:sz w:val="20"/>
                <w:szCs w:val="20"/>
              </w:rPr>
              <w:t>3.</w:t>
            </w:r>
            <w:r w:rsidR="0079036A" w:rsidRPr="008445B4">
              <w:rPr>
                <w:sz w:val="20"/>
                <w:szCs w:val="20"/>
              </w:rPr>
              <w:t>5</w:t>
            </w:r>
            <w:r w:rsidRPr="008445B4">
              <w:rPr>
                <w:sz w:val="20"/>
                <w:szCs w:val="20"/>
              </w:rPr>
              <w:t xml:space="preserve">.2 </w:t>
            </w:r>
            <w:r w:rsidR="00BA7AF2" w:rsidRPr="008445B4">
              <w:rPr>
                <w:sz w:val="20"/>
                <w:szCs w:val="20"/>
              </w:rPr>
              <w:t xml:space="preserve">Increased </w:t>
            </w:r>
            <w:r w:rsidR="00607E5F" w:rsidRPr="008445B4">
              <w:rPr>
                <w:sz w:val="20"/>
                <w:szCs w:val="20"/>
              </w:rPr>
              <w:t>income from the existing estate</w:t>
            </w:r>
          </w:p>
          <w:p w14:paraId="2ED001ED" w14:textId="1A0E1E72" w:rsidR="00907C48" w:rsidRPr="008445B4" w:rsidRDefault="008C45E0" w:rsidP="00C1048E">
            <w:pPr>
              <w:pStyle w:val="ListParagraph"/>
              <w:numPr>
                <w:ilvl w:val="1"/>
                <w:numId w:val="20"/>
              </w:numPr>
              <w:rPr>
                <w:sz w:val="20"/>
                <w:szCs w:val="20"/>
              </w:rPr>
            </w:pPr>
            <w:r w:rsidRPr="008445B4">
              <w:rPr>
                <w:sz w:val="20"/>
                <w:szCs w:val="20"/>
              </w:rPr>
              <w:t xml:space="preserve">(i)   </w:t>
            </w:r>
            <w:r w:rsidR="00907C48" w:rsidRPr="008445B4">
              <w:rPr>
                <w:sz w:val="20"/>
                <w:szCs w:val="20"/>
              </w:rPr>
              <w:t>Rent review of the commercial estate</w:t>
            </w:r>
          </w:p>
          <w:p w14:paraId="01472C62" w14:textId="4E5D9164" w:rsidR="00BA7AF2" w:rsidRPr="008445B4" w:rsidRDefault="008C45E0" w:rsidP="00C1048E">
            <w:pPr>
              <w:pStyle w:val="ListParagraph"/>
              <w:numPr>
                <w:ilvl w:val="1"/>
                <w:numId w:val="20"/>
              </w:numPr>
              <w:rPr>
                <w:sz w:val="20"/>
                <w:szCs w:val="20"/>
              </w:rPr>
            </w:pPr>
            <w:r w:rsidRPr="008445B4">
              <w:rPr>
                <w:sz w:val="20"/>
                <w:szCs w:val="20"/>
              </w:rPr>
              <w:t xml:space="preserve">(ii)  </w:t>
            </w:r>
            <w:r w:rsidR="00907C48" w:rsidRPr="008445B4">
              <w:rPr>
                <w:sz w:val="20"/>
                <w:szCs w:val="20"/>
              </w:rPr>
              <w:t>Proactive income collection</w:t>
            </w:r>
          </w:p>
        </w:tc>
        <w:tc>
          <w:tcPr>
            <w:tcW w:w="939" w:type="dxa"/>
          </w:tcPr>
          <w:p w14:paraId="227E605A" w14:textId="37F204FB" w:rsidR="00C21DDD" w:rsidRPr="008445B4" w:rsidRDefault="002F7B4C" w:rsidP="00B92D19">
            <w:pPr>
              <w:tabs>
                <w:tab w:val="left" w:pos="570"/>
              </w:tabs>
              <w:jc w:val="right"/>
              <w:rPr>
                <w:bCs/>
                <w:sz w:val="20"/>
                <w:szCs w:val="20"/>
              </w:rPr>
            </w:pPr>
            <w:r>
              <w:rPr>
                <w:bCs/>
                <w:sz w:val="20"/>
                <w:szCs w:val="20"/>
              </w:rPr>
              <w:t>32</w:t>
            </w:r>
          </w:p>
        </w:tc>
      </w:tr>
      <w:tr w:rsidR="00C21DDD" w:rsidRPr="008445B4" w14:paraId="5668A5BA" w14:textId="77777777" w:rsidTr="00E752BA">
        <w:tc>
          <w:tcPr>
            <w:tcW w:w="9005" w:type="dxa"/>
            <w:shd w:val="pct10" w:color="auto" w:fill="auto"/>
          </w:tcPr>
          <w:p w14:paraId="086DA2DF" w14:textId="71990C48" w:rsidR="00C21DDD" w:rsidRPr="008445B4" w:rsidRDefault="003A2A0D" w:rsidP="001A3FCE">
            <w:pPr>
              <w:rPr>
                <w:b/>
                <w:sz w:val="20"/>
                <w:szCs w:val="20"/>
              </w:rPr>
            </w:pPr>
            <w:r w:rsidRPr="008445B4">
              <w:rPr>
                <w:b/>
                <w:sz w:val="20"/>
                <w:szCs w:val="20"/>
              </w:rPr>
              <w:t>4</w:t>
            </w:r>
            <w:r w:rsidR="00C21DDD" w:rsidRPr="008445B4">
              <w:rPr>
                <w:b/>
                <w:sz w:val="20"/>
                <w:szCs w:val="20"/>
              </w:rPr>
              <w:t xml:space="preserve">) </w:t>
            </w:r>
            <w:r w:rsidR="00C21DDD" w:rsidRPr="008445B4">
              <w:rPr>
                <w:b/>
                <w:bCs/>
                <w:sz w:val="20"/>
                <w:szCs w:val="20"/>
              </w:rPr>
              <w:t>Delivery</w:t>
            </w:r>
          </w:p>
        </w:tc>
        <w:tc>
          <w:tcPr>
            <w:tcW w:w="939" w:type="dxa"/>
            <w:shd w:val="pct10" w:color="auto" w:fill="auto"/>
          </w:tcPr>
          <w:p w14:paraId="3E9E351E" w14:textId="5C8FB4E9" w:rsidR="00C21DDD" w:rsidRPr="008445B4" w:rsidRDefault="00C21DDD" w:rsidP="00B92D19">
            <w:pPr>
              <w:tabs>
                <w:tab w:val="left" w:pos="570"/>
              </w:tabs>
              <w:jc w:val="right"/>
              <w:rPr>
                <w:bCs/>
                <w:sz w:val="20"/>
                <w:szCs w:val="20"/>
              </w:rPr>
            </w:pPr>
          </w:p>
        </w:tc>
      </w:tr>
      <w:tr w:rsidR="003E64FA" w:rsidRPr="008445B4" w14:paraId="53B38C8D" w14:textId="77777777" w:rsidTr="00E752BA">
        <w:tc>
          <w:tcPr>
            <w:tcW w:w="9005" w:type="dxa"/>
          </w:tcPr>
          <w:p w14:paraId="300F9DCD" w14:textId="3A9332FE" w:rsidR="003E64FA" w:rsidRPr="008445B4" w:rsidRDefault="003A2A0D" w:rsidP="00C64A75">
            <w:pPr>
              <w:rPr>
                <w:bCs/>
                <w:sz w:val="20"/>
                <w:szCs w:val="20"/>
              </w:rPr>
            </w:pPr>
            <w:r w:rsidRPr="008445B4">
              <w:rPr>
                <w:bCs/>
                <w:sz w:val="20"/>
                <w:szCs w:val="20"/>
              </w:rPr>
              <w:t>4</w:t>
            </w:r>
            <w:r w:rsidR="003E64FA" w:rsidRPr="008445B4">
              <w:rPr>
                <w:bCs/>
                <w:sz w:val="20"/>
                <w:szCs w:val="20"/>
              </w:rPr>
              <w:t>.</w:t>
            </w:r>
            <w:r w:rsidR="00C64A75" w:rsidRPr="008445B4">
              <w:rPr>
                <w:bCs/>
                <w:sz w:val="20"/>
                <w:szCs w:val="20"/>
              </w:rPr>
              <w:t>1</w:t>
            </w:r>
            <w:r w:rsidR="003E64FA" w:rsidRPr="008445B4">
              <w:rPr>
                <w:bCs/>
                <w:sz w:val="20"/>
                <w:szCs w:val="20"/>
              </w:rPr>
              <w:t xml:space="preserve"> </w:t>
            </w:r>
            <w:r w:rsidR="00C64A75" w:rsidRPr="008445B4">
              <w:rPr>
                <w:bCs/>
                <w:sz w:val="20"/>
                <w:szCs w:val="20"/>
              </w:rPr>
              <w:t>Outcomes, w</w:t>
            </w:r>
            <w:r w:rsidR="003E64FA" w:rsidRPr="008445B4">
              <w:rPr>
                <w:bCs/>
                <w:sz w:val="20"/>
                <w:szCs w:val="20"/>
              </w:rPr>
              <w:t>ork strands</w:t>
            </w:r>
            <w:r w:rsidR="00C64A75" w:rsidRPr="008445B4">
              <w:rPr>
                <w:bCs/>
                <w:sz w:val="20"/>
                <w:szCs w:val="20"/>
              </w:rPr>
              <w:t xml:space="preserve"> and projects</w:t>
            </w:r>
          </w:p>
        </w:tc>
        <w:tc>
          <w:tcPr>
            <w:tcW w:w="939" w:type="dxa"/>
          </w:tcPr>
          <w:p w14:paraId="62258030" w14:textId="1A203EDE" w:rsidR="003E64FA" w:rsidRPr="008445B4" w:rsidRDefault="002F7B4C" w:rsidP="00B92D19">
            <w:pPr>
              <w:tabs>
                <w:tab w:val="left" w:pos="570"/>
              </w:tabs>
              <w:jc w:val="right"/>
              <w:rPr>
                <w:bCs/>
                <w:sz w:val="20"/>
                <w:szCs w:val="20"/>
              </w:rPr>
            </w:pPr>
            <w:r>
              <w:rPr>
                <w:bCs/>
                <w:sz w:val="20"/>
                <w:szCs w:val="20"/>
              </w:rPr>
              <w:t>35</w:t>
            </w:r>
          </w:p>
        </w:tc>
      </w:tr>
      <w:tr w:rsidR="003E64FA" w:rsidRPr="008445B4" w14:paraId="343B780A" w14:textId="77777777" w:rsidTr="00E752BA">
        <w:tc>
          <w:tcPr>
            <w:tcW w:w="9005" w:type="dxa"/>
          </w:tcPr>
          <w:p w14:paraId="07AAA4A5" w14:textId="0579FC0B" w:rsidR="003E64FA" w:rsidRPr="008445B4" w:rsidRDefault="003A2A0D" w:rsidP="00C64A75">
            <w:pPr>
              <w:rPr>
                <w:sz w:val="20"/>
                <w:szCs w:val="20"/>
              </w:rPr>
            </w:pPr>
            <w:r w:rsidRPr="008445B4">
              <w:rPr>
                <w:bCs/>
                <w:sz w:val="20"/>
                <w:szCs w:val="20"/>
              </w:rPr>
              <w:t>4</w:t>
            </w:r>
            <w:r w:rsidR="003E64FA" w:rsidRPr="008445B4">
              <w:rPr>
                <w:bCs/>
                <w:sz w:val="20"/>
                <w:szCs w:val="20"/>
              </w:rPr>
              <w:t>.</w:t>
            </w:r>
            <w:r w:rsidR="00C64A75" w:rsidRPr="008445B4">
              <w:rPr>
                <w:bCs/>
                <w:sz w:val="20"/>
                <w:szCs w:val="20"/>
              </w:rPr>
              <w:t>2</w:t>
            </w:r>
            <w:r w:rsidR="003E64FA" w:rsidRPr="008445B4">
              <w:rPr>
                <w:bCs/>
                <w:sz w:val="20"/>
                <w:szCs w:val="20"/>
              </w:rPr>
              <w:t xml:space="preserve"> </w:t>
            </w:r>
            <w:r w:rsidR="003E64FA" w:rsidRPr="008445B4">
              <w:rPr>
                <w:sz w:val="20"/>
                <w:szCs w:val="20"/>
              </w:rPr>
              <w:t>Performance indicators</w:t>
            </w:r>
          </w:p>
        </w:tc>
        <w:tc>
          <w:tcPr>
            <w:tcW w:w="939" w:type="dxa"/>
          </w:tcPr>
          <w:p w14:paraId="60CD04BC" w14:textId="2468F5B9" w:rsidR="003E64FA" w:rsidRPr="008445B4" w:rsidRDefault="002F7B4C" w:rsidP="00B92D19">
            <w:pPr>
              <w:tabs>
                <w:tab w:val="left" w:pos="570"/>
              </w:tabs>
              <w:jc w:val="right"/>
              <w:rPr>
                <w:bCs/>
                <w:sz w:val="20"/>
                <w:szCs w:val="20"/>
              </w:rPr>
            </w:pPr>
            <w:r>
              <w:rPr>
                <w:bCs/>
                <w:sz w:val="20"/>
                <w:szCs w:val="20"/>
              </w:rPr>
              <w:t>37</w:t>
            </w:r>
          </w:p>
        </w:tc>
      </w:tr>
      <w:tr w:rsidR="003E64FA" w:rsidRPr="008445B4" w14:paraId="174F8BF2" w14:textId="77777777" w:rsidTr="00E752BA">
        <w:tc>
          <w:tcPr>
            <w:tcW w:w="9005" w:type="dxa"/>
          </w:tcPr>
          <w:p w14:paraId="6878E601" w14:textId="259EF953" w:rsidR="003E64FA" w:rsidRPr="008445B4" w:rsidRDefault="003A2A0D" w:rsidP="00C64A75">
            <w:pPr>
              <w:rPr>
                <w:sz w:val="20"/>
                <w:szCs w:val="20"/>
              </w:rPr>
            </w:pPr>
            <w:r w:rsidRPr="008445B4">
              <w:rPr>
                <w:sz w:val="20"/>
                <w:szCs w:val="20"/>
              </w:rPr>
              <w:t>4</w:t>
            </w:r>
            <w:r w:rsidR="003E64FA" w:rsidRPr="008445B4">
              <w:rPr>
                <w:sz w:val="20"/>
                <w:szCs w:val="20"/>
              </w:rPr>
              <w:t>.</w:t>
            </w:r>
            <w:r w:rsidR="00C64A75" w:rsidRPr="008445B4">
              <w:rPr>
                <w:sz w:val="20"/>
                <w:szCs w:val="20"/>
              </w:rPr>
              <w:t>3</w:t>
            </w:r>
            <w:r w:rsidR="003E64FA" w:rsidRPr="008445B4">
              <w:rPr>
                <w:sz w:val="20"/>
                <w:szCs w:val="20"/>
              </w:rPr>
              <w:t xml:space="preserve"> Risks</w:t>
            </w:r>
          </w:p>
        </w:tc>
        <w:tc>
          <w:tcPr>
            <w:tcW w:w="939" w:type="dxa"/>
          </w:tcPr>
          <w:p w14:paraId="4542309B" w14:textId="12A46CF1" w:rsidR="003E64FA" w:rsidRPr="008445B4" w:rsidRDefault="002F7B4C" w:rsidP="00B92D19">
            <w:pPr>
              <w:tabs>
                <w:tab w:val="left" w:pos="570"/>
              </w:tabs>
              <w:jc w:val="right"/>
              <w:rPr>
                <w:bCs/>
                <w:sz w:val="20"/>
                <w:szCs w:val="20"/>
              </w:rPr>
            </w:pPr>
            <w:r>
              <w:rPr>
                <w:bCs/>
                <w:sz w:val="20"/>
                <w:szCs w:val="20"/>
              </w:rPr>
              <w:t>38</w:t>
            </w:r>
          </w:p>
        </w:tc>
      </w:tr>
      <w:tr w:rsidR="003E64FA" w:rsidRPr="008445B4" w14:paraId="781DE931" w14:textId="77777777" w:rsidTr="00081594">
        <w:tc>
          <w:tcPr>
            <w:tcW w:w="9005" w:type="dxa"/>
          </w:tcPr>
          <w:p w14:paraId="61B8757D" w14:textId="14CE8B02" w:rsidR="003E64FA" w:rsidRPr="008445B4" w:rsidRDefault="003A2A0D" w:rsidP="00C64A75">
            <w:pPr>
              <w:rPr>
                <w:sz w:val="20"/>
                <w:szCs w:val="20"/>
              </w:rPr>
            </w:pPr>
            <w:r w:rsidRPr="008445B4">
              <w:rPr>
                <w:sz w:val="20"/>
                <w:szCs w:val="20"/>
              </w:rPr>
              <w:t>4</w:t>
            </w:r>
            <w:r w:rsidR="003E64FA" w:rsidRPr="008445B4">
              <w:rPr>
                <w:sz w:val="20"/>
                <w:szCs w:val="20"/>
              </w:rPr>
              <w:t>.</w:t>
            </w:r>
            <w:r w:rsidR="00C64A75" w:rsidRPr="008445B4">
              <w:rPr>
                <w:sz w:val="20"/>
                <w:szCs w:val="20"/>
              </w:rPr>
              <w:t>4</w:t>
            </w:r>
            <w:r w:rsidR="003E64FA" w:rsidRPr="008445B4">
              <w:rPr>
                <w:sz w:val="20"/>
                <w:szCs w:val="20"/>
              </w:rPr>
              <w:t xml:space="preserve"> Timetable</w:t>
            </w:r>
          </w:p>
        </w:tc>
        <w:tc>
          <w:tcPr>
            <w:tcW w:w="939" w:type="dxa"/>
          </w:tcPr>
          <w:p w14:paraId="5C605EB3" w14:textId="742DF480" w:rsidR="003E64FA" w:rsidRPr="008445B4" w:rsidRDefault="002F7B4C" w:rsidP="00B92D19">
            <w:pPr>
              <w:tabs>
                <w:tab w:val="left" w:pos="570"/>
              </w:tabs>
              <w:jc w:val="right"/>
              <w:rPr>
                <w:bCs/>
                <w:sz w:val="20"/>
                <w:szCs w:val="20"/>
              </w:rPr>
            </w:pPr>
            <w:r>
              <w:rPr>
                <w:bCs/>
                <w:sz w:val="20"/>
                <w:szCs w:val="20"/>
              </w:rPr>
              <w:t>39</w:t>
            </w:r>
          </w:p>
        </w:tc>
      </w:tr>
      <w:tr w:rsidR="00081594" w:rsidRPr="008445B4" w14:paraId="4C1E633F" w14:textId="77777777" w:rsidTr="00E752BA">
        <w:tc>
          <w:tcPr>
            <w:tcW w:w="9005" w:type="dxa"/>
            <w:tcBorders>
              <w:bottom w:val="single" w:sz="4" w:space="0" w:color="auto"/>
            </w:tcBorders>
          </w:tcPr>
          <w:p w14:paraId="10638381" w14:textId="3ADA39D9" w:rsidR="00081594" w:rsidRPr="008445B4" w:rsidRDefault="00081594" w:rsidP="00C64A75">
            <w:pPr>
              <w:rPr>
                <w:sz w:val="20"/>
                <w:szCs w:val="20"/>
              </w:rPr>
            </w:pPr>
            <w:r w:rsidRPr="008445B4">
              <w:rPr>
                <w:sz w:val="20"/>
                <w:szCs w:val="20"/>
              </w:rPr>
              <w:t>4.5 Supplementary documents</w:t>
            </w:r>
          </w:p>
        </w:tc>
        <w:tc>
          <w:tcPr>
            <w:tcW w:w="939" w:type="dxa"/>
            <w:tcBorders>
              <w:bottom w:val="single" w:sz="4" w:space="0" w:color="auto"/>
            </w:tcBorders>
          </w:tcPr>
          <w:p w14:paraId="54B8AF00" w14:textId="46CFC6F5" w:rsidR="00081594" w:rsidRPr="008445B4" w:rsidRDefault="00B92D19" w:rsidP="00B92D19">
            <w:pPr>
              <w:tabs>
                <w:tab w:val="left" w:pos="570"/>
              </w:tabs>
              <w:jc w:val="right"/>
              <w:rPr>
                <w:bCs/>
                <w:sz w:val="20"/>
                <w:szCs w:val="20"/>
              </w:rPr>
            </w:pPr>
            <w:r w:rsidRPr="008445B4">
              <w:rPr>
                <w:bCs/>
                <w:sz w:val="20"/>
                <w:szCs w:val="20"/>
              </w:rPr>
              <w:t>40</w:t>
            </w:r>
          </w:p>
        </w:tc>
      </w:tr>
    </w:tbl>
    <w:p w14:paraId="1E8DA24A" w14:textId="77777777" w:rsidR="000F780C" w:rsidRPr="008445B4" w:rsidRDefault="000F780C" w:rsidP="004A7F22">
      <w:pPr>
        <w:tabs>
          <w:tab w:val="left" w:pos="570"/>
        </w:tabs>
        <w:rPr>
          <w:b/>
          <w:bCs/>
          <w:sz w:val="20"/>
          <w:szCs w:val="20"/>
        </w:rPr>
      </w:pPr>
    </w:p>
    <w:p w14:paraId="43EB6937" w14:textId="77777777" w:rsidR="006E4BB9" w:rsidRPr="005B724A" w:rsidRDefault="006E4BB9" w:rsidP="004A7F22">
      <w:pPr>
        <w:tabs>
          <w:tab w:val="left" w:pos="570"/>
        </w:tabs>
        <w:rPr>
          <w:b/>
          <w:bCs/>
        </w:rPr>
      </w:pPr>
    </w:p>
    <w:p w14:paraId="52F7061E" w14:textId="77777777" w:rsidR="0014384B" w:rsidRDefault="0014384B" w:rsidP="00607E5F">
      <w:pPr>
        <w:rPr>
          <w:b/>
          <w:highlight w:val="lightGray"/>
        </w:rPr>
      </w:pPr>
    </w:p>
    <w:p w14:paraId="6436A3C3" w14:textId="59A9CDCF" w:rsidR="00ED68DF" w:rsidRPr="005B724A" w:rsidRDefault="00ED68DF" w:rsidP="00907C48">
      <w:pPr>
        <w:spacing w:after="200" w:line="276" w:lineRule="auto"/>
        <w:rPr>
          <w:b/>
          <w:bCs/>
        </w:rPr>
      </w:pPr>
      <w:r>
        <w:rPr>
          <w:b/>
          <w:bCs/>
          <w:sz w:val="28"/>
          <w:szCs w:val="28"/>
          <w:highlight w:val="lightGray"/>
        </w:rPr>
        <w:t>FOREWORD</w:t>
      </w:r>
      <w:r w:rsidRPr="005B724A">
        <w:rPr>
          <w:b/>
          <w:bCs/>
        </w:rPr>
        <w:t xml:space="preserve"> </w:t>
      </w:r>
      <w:r w:rsidRPr="005B724A">
        <w:rPr>
          <w:b/>
          <w:bCs/>
        </w:rPr>
        <w:tab/>
      </w:r>
    </w:p>
    <w:p w14:paraId="1F355838" w14:textId="77777777" w:rsidR="00ED68DF" w:rsidRPr="00904C29" w:rsidRDefault="00ED68DF" w:rsidP="00ED68DF">
      <w:pPr>
        <w:rPr>
          <w:bCs/>
        </w:rPr>
      </w:pPr>
    </w:p>
    <w:p w14:paraId="235AD00D" w14:textId="2DA63B3E" w:rsidR="001D527C" w:rsidRPr="00AB455B" w:rsidRDefault="001D527C" w:rsidP="001D527C">
      <w:pPr>
        <w:rPr>
          <w:bCs/>
        </w:rPr>
      </w:pPr>
      <w:r w:rsidRPr="00AB455B">
        <w:rPr>
          <w:bCs/>
        </w:rPr>
        <w:t>The Council has a wide range of assets across the borough</w:t>
      </w:r>
      <w:r>
        <w:rPr>
          <w:bCs/>
        </w:rPr>
        <w:t xml:space="preserve">.  </w:t>
      </w:r>
      <w:r w:rsidR="008A2AB5">
        <w:rPr>
          <w:bCs/>
        </w:rPr>
        <w:t>M</w:t>
      </w:r>
      <w:r w:rsidRPr="00AB455B">
        <w:rPr>
          <w:bCs/>
        </w:rPr>
        <w:t>any of these buildings are familiar to residents and others with a connection to Lewisham</w:t>
      </w:r>
      <w:r>
        <w:rPr>
          <w:bCs/>
        </w:rPr>
        <w:t xml:space="preserve">, and often </w:t>
      </w:r>
      <w:r w:rsidRPr="00AB455B">
        <w:rPr>
          <w:bCs/>
        </w:rPr>
        <w:t>generat</w:t>
      </w:r>
      <w:r>
        <w:rPr>
          <w:bCs/>
        </w:rPr>
        <w:t>e</w:t>
      </w:r>
      <w:r w:rsidRPr="00AB455B">
        <w:rPr>
          <w:bCs/>
        </w:rPr>
        <w:t xml:space="preserve"> strong associations</w:t>
      </w:r>
      <w:r>
        <w:rPr>
          <w:bCs/>
        </w:rPr>
        <w:t>:</w:t>
      </w:r>
      <w:r w:rsidRPr="00AB455B">
        <w:rPr>
          <w:bCs/>
        </w:rPr>
        <w:t xml:space="preserve"> from well-loved local amenities to buildings that are sources of frustration.  Everyone in the borough has a stake in how the Council’s assets are managed and used</w:t>
      </w:r>
      <w:r>
        <w:rPr>
          <w:bCs/>
        </w:rPr>
        <w:t>,</w:t>
      </w:r>
      <w:r w:rsidRPr="00AB455B">
        <w:rPr>
          <w:bCs/>
        </w:rPr>
        <w:t xml:space="preserve"> and they have </w:t>
      </w:r>
      <w:r>
        <w:rPr>
          <w:bCs/>
        </w:rPr>
        <w:t xml:space="preserve">huge importance </w:t>
      </w:r>
      <w:r w:rsidRPr="00AB455B">
        <w:rPr>
          <w:bCs/>
        </w:rPr>
        <w:t>collectively and individually.</w:t>
      </w:r>
    </w:p>
    <w:p w14:paraId="6DEC53A5" w14:textId="77777777" w:rsidR="001D527C" w:rsidRPr="00AB455B" w:rsidRDefault="001D527C" w:rsidP="001D527C">
      <w:pPr>
        <w:rPr>
          <w:bCs/>
        </w:rPr>
      </w:pPr>
    </w:p>
    <w:p w14:paraId="1E51C160" w14:textId="77777777" w:rsidR="001D527C" w:rsidRPr="00AB455B" w:rsidRDefault="001D527C" w:rsidP="001D527C">
      <w:pPr>
        <w:rPr>
          <w:bCs/>
        </w:rPr>
      </w:pPr>
      <w:r w:rsidRPr="00AB455B">
        <w:rPr>
          <w:bCs/>
        </w:rPr>
        <w:t xml:space="preserve">The Council faces a period of major change </w:t>
      </w:r>
      <w:r>
        <w:rPr>
          <w:bCs/>
        </w:rPr>
        <w:t xml:space="preserve">resulting from the </w:t>
      </w:r>
      <w:r w:rsidRPr="00AB455B">
        <w:rPr>
          <w:bCs/>
        </w:rPr>
        <w:t>unprecedented</w:t>
      </w:r>
      <w:r>
        <w:rPr>
          <w:bCs/>
        </w:rPr>
        <w:t xml:space="preserve"> </w:t>
      </w:r>
      <w:r w:rsidRPr="00AB455B">
        <w:rPr>
          <w:bCs/>
        </w:rPr>
        <w:t xml:space="preserve">financial pressures </w:t>
      </w:r>
      <w:r>
        <w:rPr>
          <w:bCs/>
        </w:rPr>
        <w:t>on local government</w:t>
      </w:r>
      <w:r w:rsidRPr="00AB455B">
        <w:rPr>
          <w:bCs/>
        </w:rPr>
        <w:t xml:space="preserve">.  Our buildings, and the way we use them, need to be at the heart of the Council’s transformation. </w:t>
      </w:r>
    </w:p>
    <w:p w14:paraId="41745106" w14:textId="77777777" w:rsidR="001D527C" w:rsidRPr="00AB455B" w:rsidRDefault="001D527C" w:rsidP="001D527C">
      <w:pPr>
        <w:rPr>
          <w:bCs/>
        </w:rPr>
      </w:pPr>
    </w:p>
    <w:p w14:paraId="26552228" w14:textId="77777777" w:rsidR="001D527C" w:rsidRPr="00AB455B" w:rsidRDefault="001D527C" w:rsidP="001D527C">
      <w:pPr>
        <w:rPr>
          <w:bCs/>
        </w:rPr>
      </w:pPr>
      <w:r w:rsidRPr="00AB455B">
        <w:rPr>
          <w:bCs/>
        </w:rPr>
        <w:t xml:space="preserve">This </w:t>
      </w:r>
      <w:r>
        <w:rPr>
          <w:bCs/>
        </w:rPr>
        <w:t xml:space="preserve">Strategic </w:t>
      </w:r>
      <w:r w:rsidRPr="00AB455B">
        <w:rPr>
          <w:bCs/>
        </w:rPr>
        <w:t xml:space="preserve">Asset Management </w:t>
      </w:r>
      <w:r>
        <w:rPr>
          <w:bCs/>
        </w:rPr>
        <w:t xml:space="preserve">Plan </w:t>
      </w:r>
      <w:r w:rsidRPr="00AB455B">
        <w:rPr>
          <w:bCs/>
        </w:rPr>
        <w:t>sets out the terms of that reshaping</w:t>
      </w:r>
      <w:r>
        <w:rPr>
          <w:bCs/>
        </w:rPr>
        <w:t>,</w:t>
      </w:r>
      <w:r w:rsidRPr="00AB455B">
        <w:rPr>
          <w:bCs/>
        </w:rPr>
        <w:t xml:space="preserve"> and the work intended to deliver the change that is needed.  We need to drive down our exposure to cost and increase income.  We also need to ensure fair and transparent use of buildings</w:t>
      </w:r>
      <w:r>
        <w:rPr>
          <w:bCs/>
        </w:rPr>
        <w:t>,</w:t>
      </w:r>
      <w:r w:rsidRPr="00AB455B">
        <w:rPr>
          <w:bCs/>
        </w:rPr>
        <w:t xml:space="preserve"> so that resource</w:t>
      </w:r>
      <w:r>
        <w:rPr>
          <w:bCs/>
        </w:rPr>
        <w:t>s are</w:t>
      </w:r>
      <w:r w:rsidRPr="00AB455B">
        <w:rPr>
          <w:bCs/>
        </w:rPr>
        <w:t xml:space="preserve"> better aligned to agreed service priorities.  This may involve difficult decisions, as indeed will the wider transformation of the way the Council operates.  </w:t>
      </w:r>
      <w:r>
        <w:rPr>
          <w:bCs/>
        </w:rPr>
        <w:t xml:space="preserve">There are some opportunities to </w:t>
      </w:r>
      <w:r w:rsidRPr="00AB455B">
        <w:rPr>
          <w:bCs/>
        </w:rPr>
        <w:t>do more with less, but only up to a point</w:t>
      </w:r>
      <w:r>
        <w:rPr>
          <w:bCs/>
        </w:rPr>
        <w:t>:</w:t>
      </w:r>
      <w:r w:rsidRPr="00AB455B">
        <w:rPr>
          <w:bCs/>
        </w:rPr>
        <w:t xml:space="preserve"> </w:t>
      </w:r>
      <w:r>
        <w:rPr>
          <w:bCs/>
        </w:rPr>
        <w:t>s</w:t>
      </w:r>
      <w:r w:rsidRPr="00AB455B">
        <w:rPr>
          <w:bCs/>
        </w:rPr>
        <w:t>ometimes we can only do less.</w:t>
      </w:r>
    </w:p>
    <w:p w14:paraId="2B0C1D3E" w14:textId="77777777" w:rsidR="001D527C" w:rsidRPr="00AB455B" w:rsidRDefault="001D527C" w:rsidP="001D527C">
      <w:pPr>
        <w:rPr>
          <w:bCs/>
        </w:rPr>
      </w:pPr>
    </w:p>
    <w:p w14:paraId="0ACA9CA8" w14:textId="6DA455E2" w:rsidR="001D527C" w:rsidRDefault="001D527C" w:rsidP="001D527C">
      <w:pPr>
        <w:rPr>
          <w:bCs/>
        </w:rPr>
      </w:pPr>
      <w:r>
        <w:rPr>
          <w:bCs/>
        </w:rPr>
        <w:t xml:space="preserve">Yet </w:t>
      </w:r>
      <w:r w:rsidRPr="00AB455B">
        <w:rPr>
          <w:bCs/>
        </w:rPr>
        <w:t>there are reasons to be optimistic.  There are opportunities</w:t>
      </w:r>
      <w:r w:rsidR="000F4ECF">
        <w:rPr>
          <w:bCs/>
        </w:rPr>
        <w:t xml:space="preserve"> </w:t>
      </w:r>
      <w:r>
        <w:rPr>
          <w:bCs/>
        </w:rPr>
        <w:t>t</w:t>
      </w:r>
      <w:r w:rsidRPr="00AB455B">
        <w:rPr>
          <w:bCs/>
        </w:rPr>
        <w:t xml:space="preserve">o reduce costs.  </w:t>
      </w:r>
      <w:r w:rsidR="000F4ECF">
        <w:rPr>
          <w:bCs/>
        </w:rPr>
        <w:t>And a</w:t>
      </w:r>
      <w:r w:rsidRPr="00AB455B">
        <w:rPr>
          <w:bCs/>
        </w:rPr>
        <w:t xml:space="preserve">s property values </w:t>
      </w:r>
      <w:r w:rsidR="000F4ECF">
        <w:rPr>
          <w:bCs/>
        </w:rPr>
        <w:t xml:space="preserve">continue to </w:t>
      </w:r>
      <w:r w:rsidRPr="00AB455B">
        <w:rPr>
          <w:bCs/>
        </w:rPr>
        <w:t>increase</w:t>
      </w:r>
      <w:r>
        <w:rPr>
          <w:bCs/>
        </w:rPr>
        <w:t>,</w:t>
      </w:r>
      <w:r w:rsidRPr="00AB455B">
        <w:rPr>
          <w:bCs/>
        </w:rPr>
        <w:t xml:space="preserve"> we can use our physical presence to direct change and </w:t>
      </w:r>
      <w:r>
        <w:rPr>
          <w:bCs/>
        </w:rPr>
        <w:t xml:space="preserve">achieve </w:t>
      </w:r>
      <w:r w:rsidRPr="00AB455B">
        <w:rPr>
          <w:bCs/>
        </w:rPr>
        <w:t xml:space="preserve">new sources of income. </w:t>
      </w:r>
      <w:r>
        <w:rPr>
          <w:bCs/>
        </w:rPr>
        <w:t xml:space="preserve"> Many of our buildin</w:t>
      </w:r>
      <w:r w:rsidRPr="00A15A81">
        <w:rPr>
          <w:bCs/>
        </w:rPr>
        <w:t>gs are expensive to run, inflexible</w:t>
      </w:r>
      <w:r>
        <w:rPr>
          <w:bCs/>
        </w:rPr>
        <w:t xml:space="preserve"> and either </w:t>
      </w:r>
      <w:r w:rsidRPr="00A15A81">
        <w:rPr>
          <w:bCs/>
        </w:rPr>
        <w:t xml:space="preserve"> underused or overstretched</w:t>
      </w:r>
      <w:r>
        <w:rPr>
          <w:bCs/>
        </w:rPr>
        <w:t>.  Reshaping the portfolio presents the chance to get this right, and m</w:t>
      </w:r>
      <w:r w:rsidRPr="00A15A81">
        <w:rPr>
          <w:bCs/>
        </w:rPr>
        <w:t>anag</w:t>
      </w:r>
      <w:r>
        <w:rPr>
          <w:bCs/>
        </w:rPr>
        <w:t xml:space="preserve">ing </w:t>
      </w:r>
      <w:r w:rsidRPr="00AB455B">
        <w:rPr>
          <w:bCs/>
        </w:rPr>
        <w:t>our estate on</w:t>
      </w:r>
      <w:r>
        <w:rPr>
          <w:bCs/>
        </w:rPr>
        <w:t xml:space="preserve"> a</w:t>
      </w:r>
      <w:r w:rsidRPr="00AB455B">
        <w:rPr>
          <w:bCs/>
        </w:rPr>
        <w:t xml:space="preserve"> </w:t>
      </w:r>
      <w:r>
        <w:rPr>
          <w:bCs/>
        </w:rPr>
        <w:t xml:space="preserve">commercially-informed basis </w:t>
      </w:r>
      <w:r w:rsidRPr="00AB455B">
        <w:rPr>
          <w:bCs/>
        </w:rPr>
        <w:t xml:space="preserve">means we have the </w:t>
      </w:r>
      <w:r>
        <w:rPr>
          <w:bCs/>
        </w:rPr>
        <w:t xml:space="preserve">potential </w:t>
      </w:r>
      <w:r w:rsidRPr="00AB455B">
        <w:rPr>
          <w:bCs/>
        </w:rPr>
        <w:t>to run our assets at a surplus</w:t>
      </w:r>
      <w:r>
        <w:rPr>
          <w:bCs/>
        </w:rPr>
        <w:t>,</w:t>
      </w:r>
      <w:r w:rsidRPr="00AB455B">
        <w:rPr>
          <w:bCs/>
        </w:rPr>
        <w:t xml:space="preserve"> and this surplus </w:t>
      </w:r>
      <w:r>
        <w:rPr>
          <w:bCs/>
        </w:rPr>
        <w:t xml:space="preserve">will allow </w:t>
      </w:r>
      <w:r w:rsidRPr="00AB455B">
        <w:rPr>
          <w:bCs/>
        </w:rPr>
        <w:t xml:space="preserve">us </w:t>
      </w:r>
      <w:r>
        <w:rPr>
          <w:bCs/>
        </w:rPr>
        <w:t xml:space="preserve">to </w:t>
      </w:r>
      <w:r w:rsidRPr="00AB455B">
        <w:rPr>
          <w:bCs/>
        </w:rPr>
        <w:t xml:space="preserve">reinvest </w:t>
      </w:r>
      <w:r w:rsidR="005B1E5E">
        <w:rPr>
          <w:bCs/>
        </w:rPr>
        <w:t xml:space="preserve">to </w:t>
      </w:r>
      <w:r>
        <w:rPr>
          <w:bCs/>
        </w:rPr>
        <w:t>raise standards</w:t>
      </w:r>
      <w:r w:rsidRPr="00AB455B">
        <w:rPr>
          <w:bCs/>
        </w:rPr>
        <w:t xml:space="preserve">. </w:t>
      </w:r>
    </w:p>
    <w:p w14:paraId="19E8974D" w14:textId="77777777" w:rsidR="001D527C" w:rsidRDefault="001D527C" w:rsidP="001D527C">
      <w:pPr>
        <w:rPr>
          <w:bCs/>
        </w:rPr>
      </w:pPr>
    </w:p>
    <w:p w14:paraId="55F3535F" w14:textId="4E6D0608" w:rsidR="00A02601" w:rsidRDefault="001D527C" w:rsidP="00ED68DF">
      <w:pPr>
        <w:rPr>
          <w:bCs/>
        </w:rPr>
      </w:pPr>
      <w:r>
        <w:rPr>
          <w:bCs/>
        </w:rPr>
        <w:t>As the member champion for corporate assets I will be working to ensure the Council delivers on this Strategic Asset Management Plan.  The challenges are pressing and demanding. But we have a clear and ambitious plan that connects our property asset management with the strategic priorities of the Council, and we are embarking on a transformation of the corporate estate that will benefit service users, staff and the residents of the borough.</w:t>
      </w:r>
    </w:p>
    <w:p w14:paraId="51B5EF3F" w14:textId="4509593E" w:rsidR="00EA085B" w:rsidRDefault="00EA085B" w:rsidP="00ED68DF">
      <w:pPr>
        <w:rPr>
          <w:bCs/>
        </w:rPr>
      </w:pPr>
    </w:p>
    <w:p w14:paraId="5B0F0B47" w14:textId="11C05E9E" w:rsidR="005E4266" w:rsidRPr="00904C29" w:rsidRDefault="008A2AB5" w:rsidP="00ED68DF">
      <w:pPr>
        <w:rPr>
          <w:bCs/>
        </w:rPr>
      </w:pPr>
      <w:r>
        <w:rPr>
          <w:noProof/>
          <w:lang w:eastAsia="en-GB"/>
        </w:rPr>
        <w:drawing>
          <wp:inline distT="0" distB="0" distL="0" distR="0" wp14:anchorId="2CA8D81D" wp14:editId="2E040366">
            <wp:extent cx="1752600" cy="876300"/>
            <wp:effectExtent l="0" t="0" r="0" b="0"/>
            <wp:docPr id="29" name="Picture 29" descr="http://assets/sites/Democracy/MayorCabinet/Team_Admin/PA_Pages/Digital%20Signatures/Alan%20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sites/Democracy/MayorCabinet/Team_Admin/PA_Pages/Digital%20Signatures/Alan%20Smith.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14:paraId="5C8610CB" w14:textId="1809C170" w:rsidR="00ED68DF" w:rsidRDefault="00ED68DF" w:rsidP="00ED68DF">
      <w:pPr>
        <w:rPr>
          <w:b/>
          <w:bCs/>
        </w:rPr>
      </w:pPr>
      <w:r>
        <w:rPr>
          <w:b/>
          <w:bCs/>
        </w:rPr>
        <w:t xml:space="preserve">Cllr Alan Smith, </w:t>
      </w:r>
      <w:r w:rsidRPr="00ED68DF">
        <w:rPr>
          <w:b/>
          <w:bCs/>
        </w:rPr>
        <w:t xml:space="preserve">Deputy Mayor and Cabinet Member for Growth and Regeneration </w:t>
      </w:r>
    </w:p>
    <w:p w14:paraId="5EF8842F" w14:textId="73B6B38D" w:rsidR="00904C29" w:rsidRDefault="008A2AB5" w:rsidP="00ED68DF">
      <w:pPr>
        <w:rPr>
          <w:b/>
          <w:bCs/>
        </w:rPr>
      </w:pPr>
      <w:r>
        <w:rPr>
          <w:b/>
          <w:bCs/>
        </w:rPr>
        <w:t>February 2015</w:t>
      </w:r>
    </w:p>
    <w:p w14:paraId="262EFD43" w14:textId="77777777" w:rsidR="008A2AB5" w:rsidRDefault="008A2AB5" w:rsidP="00ED68DF">
      <w:pPr>
        <w:rPr>
          <w:b/>
          <w:bCs/>
        </w:rPr>
      </w:pPr>
    </w:p>
    <w:p w14:paraId="56FF9B0E" w14:textId="3480F481" w:rsidR="008A2AB5" w:rsidRDefault="008A2AB5" w:rsidP="008A2AB5">
      <w:pPr>
        <w:rPr>
          <w:b/>
          <w:bCs/>
        </w:rPr>
      </w:pPr>
      <w:r>
        <w:rPr>
          <w:b/>
          <w:bCs/>
          <w:noProof/>
          <w:lang w:eastAsia="en-GB"/>
        </w:rPr>
        <w:drawing>
          <wp:inline distT="0" distB="0" distL="0" distR="0" wp14:anchorId="4A548E5A" wp14:editId="53E6BEBC">
            <wp:extent cx="1152525" cy="1728788"/>
            <wp:effectExtent l="0" t="0" r="0" b="5080"/>
            <wp:docPr id="28" name="Picture 28" descr="C:\Users\Mobrien\AppData\Local\Microsoft\Windows\Temporary Internet Files\Content.Outlook\PF7YIVLK\Cllr_Alan_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brien\AppData\Local\Microsoft\Windows\Temporary Internet Files\Content.Outlook\PF7YIVLK\Cllr_Alan_Smit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085" cy="1728127"/>
                    </a:xfrm>
                    <a:prstGeom prst="rect">
                      <a:avLst/>
                    </a:prstGeom>
                    <a:noFill/>
                    <a:ln>
                      <a:noFill/>
                    </a:ln>
                  </pic:spPr>
                </pic:pic>
              </a:graphicData>
            </a:graphic>
          </wp:inline>
        </w:drawing>
      </w:r>
    </w:p>
    <w:p w14:paraId="420AA99F" w14:textId="77777777" w:rsidR="008A2AB5" w:rsidRDefault="008A2AB5" w:rsidP="00ED68DF">
      <w:pPr>
        <w:rPr>
          <w:b/>
          <w:bCs/>
        </w:rPr>
      </w:pPr>
    </w:p>
    <w:p w14:paraId="770E7CB9" w14:textId="77777777" w:rsidR="008A2AB5" w:rsidRPr="005B724A" w:rsidRDefault="008A2AB5" w:rsidP="00ED68DF">
      <w:pPr>
        <w:rPr>
          <w:b/>
          <w:bCs/>
        </w:rPr>
      </w:pPr>
    </w:p>
    <w:p w14:paraId="030361C3" w14:textId="77777777" w:rsidR="008A2AB5" w:rsidRDefault="008A2AB5" w:rsidP="000A5E7A">
      <w:pPr>
        <w:rPr>
          <w:b/>
          <w:bCs/>
          <w:sz w:val="28"/>
          <w:szCs w:val="28"/>
          <w:highlight w:val="lightGray"/>
        </w:rPr>
      </w:pPr>
    </w:p>
    <w:p w14:paraId="05089950" w14:textId="77777777" w:rsidR="000F4ECF" w:rsidRDefault="000F4ECF">
      <w:pPr>
        <w:spacing w:after="200" w:line="276" w:lineRule="auto"/>
        <w:rPr>
          <w:b/>
          <w:bCs/>
          <w:sz w:val="28"/>
          <w:szCs w:val="28"/>
          <w:highlight w:val="lightGray"/>
        </w:rPr>
      </w:pPr>
      <w:r>
        <w:rPr>
          <w:b/>
          <w:bCs/>
          <w:sz w:val="28"/>
          <w:szCs w:val="28"/>
          <w:highlight w:val="lightGray"/>
        </w:rPr>
        <w:br w:type="page"/>
      </w:r>
    </w:p>
    <w:p w14:paraId="68B21338" w14:textId="440B6AAF" w:rsidR="000A5E7A" w:rsidRPr="005B724A" w:rsidRDefault="004019B8" w:rsidP="000A5E7A">
      <w:pPr>
        <w:rPr>
          <w:b/>
          <w:bCs/>
        </w:rPr>
      </w:pPr>
      <w:r w:rsidRPr="005B724A">
        <w:rPr>
          <w:b/>
          <w:bCs/>
          <w:sz w:val="28"/>
          <w:szCs w:val="28"/>
          <w:highlight w:val="lightGray"/>
        </w:rPr>
        <w:lastRenderedPageBreak/>
        <w:t>EXECUTIVE SUMMARY</w:t>
      </w:r>
      <w:r w:rsidR="000A5E7A" w:rsidRPr="005B724A">
        <w:rPr>
          <w:b/>
          <w:bCs/>
        </w:rPr>
        <w:t xml:space="preserve"> </w:t>
      </w:r>
      <w:r w:rsidR="000A5E7A" w:rsidRPr="005B724A">
        <w:rPr>
          <w:b/>
          <w:bCs/>
        </w:rPr>
        <w:tab/>
      </w:r>
    </w:p>
    <w:p w14:paraId="2DF10D34" w14:textId="248D8088" w:rsidR="00DF5FCF" w:rsidRPr="005B724A" w:rsidRDefault="00DF5FCF" w:rsidP="000A5E7A">
      <w:pPr>
        <w:rPr>
          <w:b/>
          <w:bCs/>
        </w:rPr>
      </w:pPr>
    </w:p>
    <w:p w14:paraId="6952D672" w14:textId="46609D68" w:rsidR="00DA2800" w:rsidRPr="00DA2800" w:rsidRDefault="00DA2800" w:rsidP="00DA2800">
      <w:pPr>
        <w:spacing w:after="200" w:line="276" w:lineRule="auto"/>
        <w:rPr>
          <w:bCs/>
        </w:rPr>
      </w:pPr>
      <w:r w:rsidRPr="00DA2800">
        <w:rPr>
          <w:bCs/>
        </w:rPr>
        <w:t xml:space="preserve">This document sets out Lewisham Council’s Strategic Asset Management Plan 2015-2020.  The Asset Management Plan describes the Council’s approach to management of its assets and provides links to the operational and technical details that underpin the overall strategy.  This Asset Management Plan is intended to provide the framework for decision-making across the estate and for individual buildings, and shape delivery of a resource at the heart of the Council’s current and future offer to residents. </w:t>
      </w:r>
    </w:p>
    <w:p w14:paraId="20332EAF" w14:textId="6CDFCD36" w:rsidR="00510E93" w:rsidRDefault="00510E93" w:rsidP="00510E93">
      <w:pPr>
        <w:spacing w:after="200" w:line="276" w:lineRule="auto"/>
        <w:rPr>
          <w:bCs/>
        </w:rPr>
      </w:pPr>
      <w:r w:rsidRPr="00510E93">
        <w:rPr>
          <w:bCs/>
        </w:rPr>
        <w:t xml:space="preserve">The Council’s assets are the frame within which service delivery takes place. They have a significant, and growing, value and represent a means to drive investment and resources despite the significant pressures on public finances.  </w:t>
      </w:r>
    </w:p>
    <w:p w14:paraId="240F93CE" w14:textId="547FAAC6" w:rsidR="00976250" w:rsidRPr="0004799D" w:rsidRDefault="00976250" w:rsidP="006061D0">
      <w:pPr>
        <w:rPr>
          <w:bCs/>
        </w:rPr>
      </w:pPr>
      <w:r>
        <w:rPr>
          <w:bCs/>
        </w:rPr>
        <w:t xml:space="preserve">The Strategic Asset Management Plan 2015-2020 sets </w:t>
      </w:r>
      <w:r w:rsidRPr="0004799D">
        <w:rPr>
          <w:bCs/>
        </w:rPr>
        <w:t>four interlinked objectives.  These are:</w:t>
      </w:r>
    </w:p>
    <w:p w14:paraId="04A5F99E" w14:textId="77777777" w:rsidR="00976250" w:rsidRPr="0004799D" w:rsidRDefault="00976250" w:rsidP="00C1048E">
      <w:pPr>
        <w:numPr>
          <w:ilvl w:val="0"/>
          <w:numId w:val="17"/>
        </w:numPr>
        <w:rPr>
          <w:bCs/>
        </w:rPr>
      </w:pPr>
      <w:r w:rsidRPr="0004799D">
        <w:rPr>
          <w:bCs/>
        </w:rPr>
        <w:t>Compliance with regulation and responsiveness to risk</w:t>
      </w:r>
    </w:p>
    <w:p w14:paraId="6E65C337" w14:textId="77777777" w:rsidR="00976250" w:rsidRPr="0004799D" w:rsidRDefault="00976250" w:rsidP="00C1048E">
      <w:pPr>
        <w:numPr>
          <w:ilvl w:val="0"/>
          <w:numId w:val="17"/>
        </w:numPr>
        <w:rPr>
          <w:bCs/>
        </w:rPr>
      </w:pPr>
      <w:r w:rsidRPr="0004799D">
        <w:rPr>
          <w:bCs/>
        </w:rPr>
        <w:t>Improving the quality of services delivered by the corporate asset function</w:t>
      </w:r>
    </w:p>
    <w:p w14:paraId="50FF0440" w14:textId="77777777" w:rsidR="00976250" w:rsidRPr="0004799D" w:rsidRDefault="00976250" w:rsidP="00C1048E">
      <w:pPr>
        <w:numPr>
          <w:ilvl w:val="0"/>
          <w:numId w:val="17"/>
        </w:numPr>
        <w:rPr>
          <w:bCs/>
        </w:rPr>
      </w:pPr>
      <w:r w:rsidRPr="0004799D">
        <w:rPr>
          <w:bCs/>
        </w:rPr>
        <w:t>Reducing expenditure associated with the Council’s assets</w:t>
      </w:r>
    </w:p>
    <w:p w14:paraId="6252DB0C" w14:textId="77777777" w:rsidR="00976250" w:rsidRPr="0004799D" w:rsidRDefault="00976250" w:rsidP="00C1048E">
      <w:pPr>
        <w:numPr>
          <w:ilvl w:val="0"/>
          <w:numId w:val="17"/>
        </w:numPr>
        <w:spacing w:after="200" w:line="276" w:lineRule="auto"/>
        <w:rPr>
          <w:bCs/>
        </w:rPr>
      </w:pPr>
      <w:r w:rsidRPr="0004799D">
        <w:rPr>
          <w:bCs/>
        </w:rPr>
        <w:t>Increasing the level of income generated by the Council’s assets</w:t>
      </w:r>
    </w:p>
    <w:p w14:paraId="1A9D646A" w14:textId="688377E1" w:rsidR="00976250" w:rsidRDefault="00976250" w:rsidP="00435FE6">
      <w:pPr>
        <w:spacing w:after="200" w:line="276" w:lineRule="auto"/>
        <w:rPr>
          <w:bCs/>
        </w:rPr>
      </w:pPr>
      <w:r>
        <w:rPr>
          <w:bCs/>
        </w:rPr>
        <w:t xml:space="preserve">A summary of the Council’s asset register is set out in section 2 of this document. </w:t>
      </w:r>
    </w:p>
    <w:p w14:paraId="58D3EFEE" w14:textId="4CF76C4E" w:rsidR="00435FE6" w:rsidRDefault="00A02601" w:rsidP="00435FE6">
      <w:pPr>
        <w:spacing w:after="200" w:line="276" w:lineRule="auto"/>
        <w:rPr>
          <w:bCs/>
        </w:rPr>
      </w:pPr>
      <w:r>
        <w:rPr>
          <w:bCs/>
        </w:rPr>
        <w:t xml:space="preserve">A </w:t>
      </w:r>
      <w:r w:rsidR="00976250">
        <w:rPr>
          <w:bCs/>
        </w:rPr>
        <w:t>core</w:t>
      </w:r>
      <w:r>
        <w:rPr>
          <w:bCs/>
        </w:rPr>
        <w:t xml:space="preserve"> priority for the Council has been to significantly strengthen the management of corporate assets and use this to ensure they are safe and improve the quality and value for money of the service they can deliver.  </w:t>
      </w:r>
      <w:r w:rsidR="00976250" w:rsidRPr="00976250">
        <w:rPr>
          <w:bCs/>
        </w:rPr>
        <w:t xml:space="preserve">Section </w:t>
      </w:r>
      <w:r w:rsidR="00976250">
        <w:rPr>
          <w:bCs/>
        </w:rPr>
        <w:t>3</w:t>
      </w:r>
      <w:r w:rsidR="00976250" w:rsidRPr="00976250">
        <w:rPr>
          <w:bCs/>
        </w:rPr>
        <w:t xml:space="preserve"> of this document  describes t</w:t>
      </w:r>
      <w:r w:rsidRPr="00976250">
        <w:rPr>
          <w:bCs/>
        </w:rPr>
        <w:t>he foundations of this change include more robust data and process, increase</w:t>
      </w:r>
      <w:r>
        <w:rPr>
          <w:bCs/>
        </w:rPr>
        <w:t>d capacity and stronger go</w:t>
      </w:r>
      <w:r w:rsidR="00976250">
        <w:rPr>
          <w:bCs/>
        </w:rPr>
        <w:t xml:space="preserve">vernance and decision-making. </w:t>
      </w:r>
    </w:p>
    <w:p w14:paraId="572B42B8" w14:textId="1EDFF3FD" w:rsidR="00A02601" w:rsidRPr="00DA2800" w:rsidRDefault="00A02601" w:rsidP="00A02601">
      <w:pPr>
        <w:spacing w:after="200" w:line="276" w:lineRule="auto"/>
        <w:rPr>
          <w:bCs/>
        </w:rPr>
      </w:pPr>
      <w:r w:rsidRPr="00DA2800">
        <w:rPr>
          <w:bCs/>
        </w:rPr>
        <w:t xml:space="preserve">Over the period </w:t>
      </w:r>
      <w:r>
        <w:rPr>
          <w:bCs/>
        </w:rPr>
        <w:t>of the last Asset Management Plan (</w:t>
      </w:r>
      <w:r w:rsidRPr="00DA2800">
        <w:rPr>
          <w:bCs/>
        </w:rPr>
        <w:t>2010</w:t>
      </w:r>
      <w:r>
        <w:rPr>
          <w:bCs/>
        </w:rPr>
        <w:t>-</w:t>
      </w:r>
      <w:r w:rsidRPr="00DA2800">
        <w:rPr>
          <w:bCs/>
        </w:rPr>
        <w:t>2014</w:t>
      </w:r>
      <w:r>
        <w:rPr>
          <w:bCs/>
        </w:rPr>
        <w:t>)</w:t>
      </w:r>
      <w:r w:rsidRPr="00DA2800">
        <w:rPr>
          <w:bCs/>
        </w:rPr>
        <w:t xml:space="preserve"> the Council made savings of over £100m</w:t>
      </w:r>
      <w:r>
        <w:rPr>
          <w:bCs/>
        </w:rPr>
        <w:t xml:space="preserve"> with </w:t>
      </w:r>
      <w:r w:rsidR="000B688E">
        <w:rPr>
          <w:bCs/>
        </w:rPr>
        <w:t>significant</w:t>
      </w:r>
      <w:r>
        <w:rPr>
          <w:bCs/>
        </w:rPr>
        <w:t xml:space="preserve"> savings achieved through better use of assets</w:t>
      </w:r>
      <w:r w:rsidRPr="00DA2800">
        <w:rPr>
          <w:bCs/>
        </w:rPr>
        <w:t xml:space="preserve">. The Council </w:t>
      </w:r>
      <w:r>
        <w:rPr>
          <w:bCs/>
        </w:rPr>
        <w:t xml:space="preserve">now </w:t>
      </w:r>
      <w:r w:rsidRPr="00DA2800">
        <w:rPr>
          <w:bCs/>
        </w:rPr>
        <w:t xml:space="preserve">faces </w:t>
      </w:r>
      <w:r>
        <w:rPr>
          <w:bCs/>
        </w:rPr>
        <w:t xml:space="preserve">further budget pressures </w:t>
      </w:r>
      <w:r w:rsidR="00530FA2">
        <w:rPr>
          <w:bCs/>
        </w:rPr>
        <w:t xml:space="preserve">with </w:t>
      </w:r>
      <w:r w:rsidRPr="00DA2800">
        <w:rPr>
          <w:bCs/>
        </w:rPr>
        <w:t>an £85m budget gap over the three years to 2017/1</w:t>
      </w:r>
      <w:r>
        <w:rPr>
          <w:bCs/>
        </w:rPr>
        <w:t xml:space="preserve">8.  </w:t>
      </w:r>
      <w:r w:rsidR="00976250" w:rsidRPr="00976250">
        <w:rPr>
          <w:bCs/>
        </w:rPr>
        <w:t>Section 3 of this document</w:t>
      </w:r>
      <w:r w:rsidR="00530FA2" w:rsidRPr="00976250">
        <w:rPr>
          <w:bCs/>
        </w:rPr>
        <w:t xml:space="preserve"> </w:t>
      </w:r>
      <w:r w:rsidR="00976250">
        <w:rPr>
          <w:bCs/>
        </w:rPr>
        <w:t xml:space="preserve">sets out </w:t>
      </w:r>
      <w:r w:rsidR="00530FA2" w:rsidRPr="00976250">
        <w:rPr>
          <w:bCs/>
        </w:rPr>
        <w:t xml:space="preserve">the Council’s </w:t>
      </w:r>
      <w:r w:rsidR="000B688E" w:rsidRPr="00976250">
        <w:rPr>
          <w:bCs/>
        </w:rPr>
        <w:t>Accommodation</w:t>
      </w:r>
      <w:r w:rsidR="00530FA2" w:rsidRPr="00976250">
        <w:rPr>
          <w:bCs/>
        </w:rPr>
        <w:t xml:space="preserve"> Strategy that will seek to optimise the use of assets</w:t>
      </w:r>
      <w:r w:rsidR="00530FA2">
        <w:rPr>
          <w:bCs/>
        </w:rPr>
        <w:t xml:space="preserve"> to </w:t>
      </w:r>
      <w:r w:rsidR="00976250">
        <w:rPr>
          <w:bCs/>
        </w:rPr>
        <w:t xml:space="preserve">maintain the quality of service provision while </w:t>
      </w:r>
      <w:r w:rsidR="00530FA2">
        <w:rPr>
          <w:bCs/>
        </w:rPr>
        <w:t>further driv</w:t>
      </w:r>
      <w:r w:rsidR="00976250">
        <w:rPr>
          <w:bCs/>
        </w:rPr>
        <w:t>ing</w:t>
      </w:r>
      <w:r w:rsidR="00530FA2">
        <w:rPr>
          <w:bCs/>
        </w:rPr>
        <w:t xml:space="preserve"> reduction</w:t>
      </w:r>
      <w:r w:rsidR="00976250">
        <w:rPr>
          <w:bCs/>
        </w:rPr>
        <w:t>s</w:t>
      </w:r>
      <w:r w:rsidR="00530FA2">
        <w:rPr>
          <w:bCs/>
        </w:rPr>
        <w:t xml:space="preserve"> in expenditure </w:t>
      </w:r>
      <w:r w:rsidR="00976250">
        <w:rPr>
          <w:bCs/>
        </w:rPr>
        <w:t xml:space="preserve">and exposure to costs.  </w:t>
      </w:r>
      <w:r w:rsidR="00530FA2">
        <w:rPr>
          <w:bCs/>
        </w:rPr>
        <w:t xml:space="preserve"> The overall level of savings needed </w:t>
      </w:r>
      <w:r w:rsidR="00530FA2" w:rsidRPr="00DA2800">
        <w:rPr>
          <w:bCs/>
        </w:rPr>
        <w:t xml:space="preserve">increasingly </w:t>
      </w:r>
      <w:r w:rsidR="00530FA2">
        <w:rPr>
          <w:bCs/>
        </w:rPr>
        <w:t xml:space="preserve">requires a </w:t>
      </w:r>
      <w:r w:rsidR="00530FA2" w:rsidRPr="00DA2800">
        <w:rPr>
          <w:bCs/>
        </w:rPr>
        <w:t xml:space="preserve">transformational </w:t>
      </w:r>
      <w:r w:rsidR="00530FA2">
        <w:rPr>
          <w:bCs/>
        </w:rPr>
        <w:t xml:space="preserve">approach, but with rising values for property and land there are opportunities to use the Council’s portfolio to open up potentially significant income sources.  </w:t>
      </w:r>
    </w:p>
    <w:p w14:paraId="03A1944A" w14:textId="4635AEFF" w:rsidR="00976250" w:rsidRDefault="00976250">
      <w:pPr>
        <w:spacing w:after="200" w:line="276" w:lineRule="auto"/>
        <w:rPr>
          <w:bCs/>
        </w:rPr>
      </w:pPr>
      <w:r>
        <w:rPr>
          <w:bCs/>
        </w:rPr>
        <w:t xml:space="preserve">Understanding risk and ensuring compliance with statutory requirements </w:t>
      </w:r>
      <w:r w:rsidR="009964C7">
        <w:rPr>
          <w:bCs/>
        </w:rPr>
        <w:t xml:space="preserve">are </w:t>
      </w:r>
      <w:r>
        <w:rPr>
          <w:bCs/>
        </w:rPr>
        <w:t>fundamental priorit</w:t>
      </w:r>
      <w:r w:rsidR="009964C7">
        <w:rPr>
          <w:bCs/>
        </w:rPr>
        <w:t>ies</w:t>
      </w:r>
      <w:r>
        <w:rPr>
          <w:bCs/>
        </w:rPr>
        <w:t xml:space="preserve">.  Section </w:t>
      </w:r>
      <w:r w:rsidR="006061D0">
        <w:rPr>
          <w:bCs/>
        </w:rPr>
        <w:t>3</w:t>
      </w:r>
      <w:r>
        <w:rPr>
          <w:bCs/>
        </w:rPr>
        <w:t xml:space="preserve"> of this document identifies the different strands of this activity including fire safety, asbestos management, water hygiene, </w:t>
      </w:r>
      <w:r w:rsidR="000F4ECF">
        <w:rPr>
          <w:bCs/>
        </w:rPr>
        <w:t>Equalities</w:t>
      </w:r>
      <w:r>
        <w:rPr>
          <w:bCs/>
        </w:rPr>
        <w:t>, Energy Performance Certificates, staff safety and third party management of assets.</w:t>
      </w:r>
    </w:p>
    <w:p w14:paraId="03B644A0" w14:textId="671FE9A3" w:rsidR="00A008EB" w:rsidRDefault="00976250">
      <w:pPr>
        <w:spacing w:after="200" w:line="276" w:lineRule="auto"/>
        <w:rPr>
          <w:bCs/>
        </w:rPr>
      </w:pPr>
      <w:r>
        <w:rPr>
          <w:bCs/>
        </w:rPr>
        <w:t xml:space="preserve">Effective management of the commercial estate is an essential </w:t>
      </w:r>
      <w:r w:rsidR="000B688E">
        <w:rPr>
          <w:bCs/>
        </w:rPr>
        <w:t>part</w:t>
      </w:r>
      <w:r>
        <w:rPr>
          <w:bCs/>
        </w:rPr>
        <w:t xml:space="preserve"> of getting value for money from the </w:t>
      </w:r>
      <w:r w:rsidR="000B688E">
        <w:rPr>
          <w:bCs/>
        </w:rPr>
        <w:t>corporate</w:t>
      </w:r>
      <w:r>
        <w:rPr>
          <w:bCs/>
        </w:rPr>
        <w:t xml:space="preserve"> estate and responding to the </w:t>
      </w:r>
      <w:r w:rsidR="000B688E">
        <w:rPr>
          <w:bCs/>
        </w:rPr>
        <w:t>Council’s</w:t>
      </w:r>
      <w:r>
        <w:rPr>
          <w:bCs/>
        </w:rPr>
        <w:t xml:space="preserve"> wider financial pressures.  Section </w:t>
      </w:r>
      <w:r w:rsidR="006061D0">
        <w:rPr>
          <w:bCs/>
        </w:rPr>
        <w:t>3</w:t>
      </w:r>
      <w:r>
        <w:rPr>
          <w:bCs/>
        </w:rPr>
        <w:t xml:space="preserve"> of this </w:t>
      </w:r>
      <w:r w:rsidR="006061D0">
        <w:rPr>
          <w:bCs/>
        </w:rPr>
        <w:t xml:space="preserve">document includes the approach proposed to the </w:t>
      </w:r>
      <w:r w:rsidR="000B688E">
        <w:rPr>
          <w:bCs/>
        </w:rPr>
        <w:t>commercial</w:t>
      </w:r>
      <w:r w:rsidR="006061D0">
        <w:rPr>
          <w:bCs/>
        </w:rPr>
        <w:t xml:space="preserve"> estate in terms of fully utilising assets, increasing income by achieving market rates and the proactive collection of income.</w:t>
      </w:r>
    </w:p>
    <w:p w14:paraId="6DA807D2" w14:textId="6E810EFC" w:rsidR="006061D0" w:rsidRDefault="006061D0">
      <w:pPr>
        <w:spacing w:after="200" w:line="276" w:lineRule="auto"/>
        <w:rPr>
          <w:bCs/>
        </w:rPr>
      </w:pPr>
      <w:r>
        <w:rPr>
          <w:bCs/>
        </w:rPr>
        <w:t xml:space="preserve">The final section of the Strategic Asset Management Plan </w:t>
      </w:r>
      <w:r w:rsidR="009964C7">
        <w:rPr>
          <w:bCs/>
        </w:rPr>
        <w:t xml:space="preserve">describes </w:t>
      </w:r>
      <w:r>
        <w:rPr>
          <w:bCs/>
        </w:rPr>
        <w:t xml:space="preserve">the approach proposed to delivery by setting out an overview of the outcomes and projects included within the body of the document, </w:t>
      </w:r>
      <w:r w:rsidR="009964C7">
        <w:rPr>
          <w:bCs/>
        </w:rPr>
        <w:t xml:space="preserve">identifying </w:t>
      </w:r>
      <w:r>
        <w:rPr>
          <w:bCs/>
        </w:rPr>
        <w:t xml:space="preserve">the key indicators and targets that will be used to monitor performance, </w:t>
      </w:r>
      <w:r w:rsidR="009964C7">
        <w:rPr>
          <w:bCs/>
        </w:rPr>
        <w:t xml:space="preserve">assessing </w:t>
      </w:r>
      <w:r>
        <w:rPr>
          <w:bCs/>
        </w:rPr>
        <w:t xml:space="preserve">the risks associated with management of corporate assets and </w:t>
      </w:r>
      <w:r w:rsidR="009964C7">
        <w:rPr>
          <w:bCs/>
        </w:rPr>
        <w:t xml:space="preserve">identifying </w:t>
      </w:r>
      <w:r>
        <w:rPr>
          <w:bCs/>
        </w:rPr>
        <w:t>the overall timetable for delivery.</w:t>
      </w:r>
    </w:p>
    <w:p w14:paraId="2BCF61EE" w14:textId="77777777" w:rsidR="00976250" w:rsidRDefault="00976250">
      <w:pPr>
        <w:spacing w:after="200" w:line="276" w:lineRule="auto"/>
        <w:rPr>
          <w:bCs/>
        </w:rPr>
      </w:pPr>
      <w:r>
        <w:rPr>
          <w:bCs/>
        </w:rPr>
        <w:br w:type="page"/>
      </w:r>
    </w:p>
    <w:p w14:paraId="1295E69D" w14:textId="3E59CF67" w:rsidR="0004799D" w:rsidRPr="005B1E5E" w:rsidRDefault="0004799D" w:rsidP="0004799D">
      <w:pPr>
        <w:spacing w:after="200" w:line="276" w:lineRule="auto"/>
        <w:rPr>
          <w:bCs/>
        </w:rPr>
      </w:pPr>
      <w:r w:rsidRPr="005B1E5E">
        <w:rPr>
          <w:bCs/>
        </w:rPr>
        <w:lastRenderedPageBreak/>
        <w:t xml:space="preserve">There </w:t>
      </w:r>
      <w:r w:rsidR="006061D0" w:rsidRPr="005B1E5E">
        <w:rPr>
          <w:bCs/>
        </w:rPr>
        <w:t xml:space="preserve">are </w:t>
      </w:r>
      <w:r w:rsidRPr="005B1E5E">
        <w:rPr>
          <w:bCs/>
        </w:rPr>
        <w:t xml:space="preserve">a number of work strands planned and underway aimed at delivering on these objectives.  These </w:t>
      </w:r>
      <w:r w:rsidR="005B1E5E" w:rsidRPr="005B1E5E">
        <w:rPr>
          <w:bCs/>
        </w:rPr>
        <w:t>are</w:t>
      </w:r>
      <w:r w:rsidRPr="005B1E5E">
        <w:rPr>
          <w:bCs/>
        </w:rPr>
        <w:t xml:space="preserve"> described throughout the body of this Strategic Asset Management Plan.   These projects are summarised in the table below.</w:t>
      </w:r>
    </w:p>
    <w:tbl>
      <w:tblPr>
        <w:tblStyle w:val="TableGrid"/>
        <w:tblW w:w="0" w:type="auto"/>
        <w:tblLook w:val="04A0" w:firstRow="1" w:lastRow="0" w:firstColumn="1" w:lastColumn="0" w:noHBand="0" w:noVBand="1"/>
      </w:tblPr>
      <w:tblGrid>
        <w:gridCol w:w="2549"/>
        <w:gridCol w:w="3088"/>
        <w:gridCol w:w="5045"/>
      </w:tblGrid>
      <w:tr w:rsidR="00F37062" w:rsidRPr="002A50EC" w14:paraId="5077CC6A" w14:textId="77777777" w:rsidTr="00640D2D">
        <w:tc>
          <w:tcPr>
            <w:tcW w:w="2549" w:type="dxa"/>
            <w:tcBorders>
              <w:top w:val="single" w:sz="24" w:space="0" w:color="auto"/>
              <w:left w:val="single" w:sz="24" w:space="0" w:color="auto"/>
              <w:bottom w:val="single" w:sz="24" w:space="0" w:color="auto"/>
            </w:tcBorders>
            <w:shd w:val="clear" w:color="auto" w:fill="D9D9D9" w:themeFill="background1" w:themeFillShade="D9"/>
          </w:tcPr>
          <w:p w14:paraId="6860ECD0" w14:textId="77777777" w:rsidR="00F37062" w:rsidRPr="002A50EC" w:rsidRDefault="00F37062" w:rsidP="00763896">
            <w:pPr>
              <w:jc w:val="center"/>
              <w:rPr>
                <w:rFonts w:asciiTheme="minorHAnsi" w:hAnsiTheme="minorHAnsi" w:cstheme="minorBidi"/>
                <w:b/>
                <w:sz w:val="28"/>
                <w:szCs w:val="28"/>
              </w:rPr>
            </w:pPr>
            <w:r w:rsidRPr="002A50EC">
              <w:rPr>
                <w:rFonts w:asciiTheme="minorHAnsi" w:hAnsiTheme="minorHAnsi" w:cstheme="minorBidi"/>
                <w:b/>
                <w:sz w:val="28"/>
                <w:szCs w:val="28"/>
              </w:rPr>
              <w:t>Programmes</w:t>
            </w:r>
          </w:p>
        </w:tc>
        <w:tc>
          <w:tcPr>
            <w:tcW w:w="8133" w:type="dxa"/>
            <w:gridSpan w:val="2"/>
            <w:tcBorders>
              <w:top w:val="single" w:sz="24" w:space="0" w:color="auto"/>
              <w:bottom w:val="single" w:sz="24" w:space="0" w:color="auto"/>
              <w:right w:val="single" w:sz="24" w:space="0" w:color="auto"/>
            </w:tcBorders>
            <w:shd w:val="clear" w:color="auto" w:fill="D9D9D9" w:themeFill="background1" w:themeFillShade="D9"/>
          </w:tcPr>
          <w:p w14:paraId="1D6BED35" w14:textId="12F827FC" w:rsidR="00F37062" w:rsidRPr="002A50EC" w:rsidRDefault="00F37062" w:rsidP="00F37062">
            <w:pPr>
              <w:jc w:val="center"/>
              <w:rPr>
                <w:rFonts w:asciiTheme="minorHAnsi" w:hAnsiTheme="minorHAnsi" w:cstheme="minorBidi"/>
                <w:b/>
                <w:sz w:val="28"/>
                <w:szCs w:val="28"/>
              </w:rPr>
            </w:pPr>
            <w:r w:rsidRPr="002A50EC">
              <w:rPr>
                <w:rFonts w:asciiTheme="minorHAnsi" w:hAnsiTheme="minorHAnsi" w:cstheme="minorBidi"/>
                <w:b/>
                <w:sz w:val="28"/>
                <w:szCs w:val="28"/>
              </w:rPr>
              <w:t>Work strands</w:t>
            </w:r>
          </w:p>
        </w:tc>
      </w:tr>
      <w:tr w:rsidR="000F4ECF" w:rsidRPr="002A50EC" w14:paraId="3603B475" w14:textId="77777777" w:rsidTr="006061D0">
        <w:trPr>
          <w:trHeight w:val="1929"/>
        </w:trPr>
        <w:tc>
          <w:tcPr>
            <w:tcW w:w="2549" w:type="dxa"/>
            <w:tcBorders>
              <w:top w:val="single" w:sz="24" w:space="0" w:color="auto"/>
              <w:left w:val="single" w:sz="24" w:space="0" w:color="auto"/>
            </w:tcBorders>
            <w:vAlign w:val="center"/>
          </w:tcPr>
          <w:p w14:paraId="4CF2BFF1" w14:textId="77777777" w:rsidR="000F4ECF" w:rsidRPr="002A50EC" w:rsidRDefault="000F4ECF" w:rsidP="002A50EC">
            <w:pPr>
              <w:jc w:val="center"/>
              <w:rPr>
                <w:rFonts w:asciiTheme="minorHAnsi" w:hAnsiTheme="minorHAnsi" w:cstheme="minorBidi"/>
                <w:sz w:val="28"/>
                <w:szCs w:val="28"/>
              </w:rPr>
            </w:pPr>
            <w:r w:rsidRPr="002A50EC">
              <w:rPr>
                <w:rFonts w:asciiTheme="minorHAnsi" w:hAnsiTheme="minorHAnsi" w:cstheme="minorBidi"/>
                <w:sz w:val="28"/>
                <w:szCs w:val="28"/>
              </w:rPr>
              <w:t>Compliance and risk</w:t>
            </w:r>
          </w:p>
        </w:tc>
        <w:tc>
          <w:tcPr>
            <w:tcW w:w="3088" w:type="dxa"/>
            <w:tcBorders>
              <w:top w:val="single" w:sz="24" w:space="0" w:color="auto"/>
            </w:tcBorders>
            <w:vAlign w:val="center"/>
          </w:tcPr>
          <w:p w14:paraId="17BA6422" w14:textId="53C310D8" w:rsidR="000F4ECF" w:rsidRPr="002A50EC" w:rsidRDefault="000F4ECF" w:rsidP="002A50EC">
            <w:pPr>
              <w:rPr>
                <w:rFonts w:asciiTheme="minorHAnsi" w:hAnsiTheme="minorHAnsi" w:cstheme="minorBidi"/>
                <w:sz w:val="24"/>
                <w:szCs w:val="24"/>
              </w:rPr>
            </w:pPr>
            <w:r w:rsidRPr="002A50EC">
              <w:rPr>
                <w:rFonts w:asciiTheme="minorHAnsi" w:hAnsiTheme="minorHAnsi" w:cstheme="minorBidi"/>
                <w:sz w:val="24"/>
                <w:szCs w:val="24"/>
              </w:rPr>
              <w:t>Statutory compliance</w:t>
            </w:r>
          </w:p>
        </w:tc>
        <w:tc>
          <w:tcPr>
            <w:tcW w:w="5045" w:type="dxa"/>
            <w:tcBorders>
              <w:top w:val="single" w:sz="24" w:space="0" w:color="auto"/>
              <w:right w:val="single" w:sz="24" w:space="0" w:color="auto"/>
            </w:tcBorders>
          </w:tcPr>
          <w:p w14:paraId="6DC805CF" w14:textId="77777777" w:rsidR="000F4ECF" w:rsidRPr="00C90C12" w:rsidRDefault="000F4ECF" w:rsidP="000F4ECF">
            <w:pPr>
              <w:numPr>
                <w:ilvl w:val="0"/>
                <w:numId w:val="32"/>
              </w:numPr>
              <w:rPr>
                <w:rFonts w:ascii="Arial" w:hAnsi="Arial" w:cs="Arial"/>
                <w:sz w:val="20"/>
                <w:szCs w:val="20"/>
              </w:rPr>
            </w:pPr>
            <w:r w:rsidRPr="00C90C12">
              <w:rPr>
                <w:rFonts w:ascii="Arial" w:hAnsi="Arial" w:cs="Arial"/>
                <w:sz w:val="20"/>
                <w:szCs w:val="20"/>
              </w:rPr>
              <w:t>Fire safety</w:t>
            </w:r>
          </w:p>
          <w:p w14:paraId="2D93B86F" w14:textId="77777777" w:rsidR="000F4ECF" w:rsidRPr="00C90C12" w:rsidRDefault="000F4ECF" w:rsidP="000F4ECF">
            <w:pPr>
              <w:numPr>
                <w:ilvl w:val="0"/>
                <w:numId w:val="32"/>
              </w:numPr>
              <w:rPr>
                <w:rFonts w:ascii="Arial" w:hAnsi="Arial" w:cs="Arial"/>
                <w:sz w:val="20"/>
                <w:szCs w:val="20"/>
              </w:rPr>
            </w:pPr>
            <w:r w:rsidRPr="00C90C12">
              <w:rPr>
                <w:rFonts w:ascii="Arial" w:hAnsi="Arial" w:cs="Arial"/>
                <w:sz w:val="20"/>
                <w:szCs w:val="20"/>
              </w:rPr>
              <w:t>Asbestos policy and management plan</w:t>
            </w:r>
          </w:p>
          <w:p w14:paraId="171732E6" w14:textId="77777777" w:rsidR="000F4ECF" w:rsidRPr="00C90C12" w:rsidRDefault="000F4ECF" w:rsidP="000F4ECF">
            <w:pPr>
              <w:numPr>
                <w:ilvl w:val="0"/>
                <w:numId w:val="32"/>
              </w:numPr>
              <w:rPr>
                <w:rFonts w:ascii="Arial" w:hAnsi="Arial" w:cs="Arial"/>
                <w:sz w:val="20"/>
                <w:szCs w:val="20"/>
              </w:rPr>
            </w:pPr>
            <w:r w:rsidRPr="00C90C12">
              <w:rPr>
                <w:rFonts w:ascii="Arial" w:hAnsi="Arial" w:cs="Arial"/>
                <w:sz w:val="20"/>
                <w:szCs w:val="20"/>
              </w:rPr>
              <w:t>Water hygiene plan</w:t>
            </w:r>
          </w:p>
          <w:p w14:paraId="70085A59" w14:textId="77777777" w:rsidR="000F4ECF" w:rsidRPr="00C90C12" w:rsidRDefault="000F4ECF" w:rsidP="000F4ECF">
            <w:pPr>
              <w:numPr>
                <w:ilvl w:val="0"/>
                <w:numId w:val="32"/>
              </w:numPr>
              <w:rPr>
                <w:rFonts w:ascii="Arial" w:hAnsi="Arial" w:cs="Arial"/>
                <w:sz w:val="20"/>
                <w:szCs w:val="20"/>
              </w:rPr>
            </w:pPr>
            <w:r w:rsidRPr="004B2DCD">
              <w:rPr>
                <w:rFonts w:ascii="Arial" w:hAnsi="Arial" w:cs="Arial"/>
                <w:sz w:val="20"/>
                <w:szCs w:val="20"/>
              </w:rPr>
              <w:t xml:space="preserve">Equality Act 2010 access to buildings and services </w:t>
            </w:r>
          </w:p>
          <w:p w14:paraId="0B7EFC66" w14:textId="77777777" w:rsidR="000F4ECF" w:rsidRPr="00C90C12" w:rsidRDefault="000F4ECF" w:rsidP="000F4ECF">
            <w:pPr>
              <w:numPr>
                <w:ilvl w:val="0"/>
                <w:numId w:val="32"/>
              </w:numPr>
              <w:rPr>
                <w:rFonts w:ascii="Arial" w:hAnsi="Arial" w:cs="Arial"/>
                <w:sz w:val="20"/>
                <w:szCs w:val="20"/>
              </w:rPr>
            </w:pPr>
            <w:r w:rsidRPr="00C90C12">
              <w:rPr>
                <w:rFonts w:ascii="Arial" w:hAnsi="Arial" w:cs="Arial"/>
                <w:sz w:val="20"/>
                <w:szCs w:val="20"/>
              </w:rPr>
              <w:t>Energy Performance Certificates</w:t>
            </w:r>
          </w:p>
          <w:p w14:paraId="21A59678" w14:textId="77777777" w:rsidR="000F4ECF" w:rsidRPr="00C90C12" w:rsidRDefault="000F4ECF" w:rsidP="000F4ECF">
            <w:pPr>
              <w:numPr>
                <w:ilvl w:val="0"/>
                <w:numId w:val="32"/>
              </w:numPr>
              <w:rPr>
                <w:rFonts w:ascii="Arial" w:hAnsi="Arial" w:cs="Arial"/>
                <w:sz w:val="20"/>
                <w:szCs w:val="20"/>
              </w:rPr>
            </w:pPr>
            <w:r w:rsidRPr="00C90C12">
              <w:rPr>
                <w:rFonts w:ascii="Arial" w:hAnsi="Arial" w:cs="Arial"/>
                <w:sz w:val="20"/>
                <w:szCs w:val="20"/>
              </w:rPr>
              <w:t xml:space="preserve">Staff safety </w:t>
            </w:r>
          </w:p>
          <w:p w14:paraId="409BD9EA" w14:textId="688A4305" w:rsidR="000F4ECF" w:rsidRPr="006061D0" w:rsidRDefault="000F4ECF" w:rsidP="00C1048E">
            <w:pPr>
              <w:numPr>
                <w:ilvl w:val="0"/>
                <w:numId w:val="32"/>
              </w:numPr>
              <w:contextualSpacing/>
              <w:rPr>
                <w:rFonts w:asciiTheme="minorHAnsi" w:hAnsiTheme="minorHAnsi" w:cstheme="minorBidi"/>
              </w:rPr>
            </w:pPr>
            <w:r w:rsidRPr="00C90C12">
              <w:rPr>
                <w:rFonts w:ascii="Arial" w:hAnsi="Arial" w:cs="Arial"/>
                <w:sz w:val="20"/>
                <w:szCs w:val="20"/>
              </w:rPr>
              <w:t>Third party management of assets</w:t>
            </w:r>
          </w:p>
        </w:tc>
      </w:tr>
      <w:tr w:rsidR="000F4ECF" w:rsidRPr="002A50EC" w14:paraId="6FA1C366" w14:textId="77777777" w:rsidTr="007209F1">
        <w:tc>
          <w:tcPr>
            <w:tcW w:w="2549" w:type="dxa"/>
            <w:vMerge w:val="restart"/>
            <w:tcBorders>
              <w:top w:val="single" w:sz="24" w:space="0" w:color="auto"/>
              <w:left w:val="single" w:sz="24" w:space="0" w:color="auto"/>
            </w:tcBorders>
            <w:vAlign w:val="center"/>
          </w:tcPr>
          <w:p w14:paraId="1F01C530" w14:textId="77777777" w:rsidR="000F4ECF" w:rsidRPr="002A50EC" w:rsidRDefault="000F4ECF" w:rsidP="007209F1">
            <w:pPr>
              <w:jc w:val="center"/>
              <w:rPr>
                <w:rFonts w:asciiTheme="minorHAnsi" w:hAnsiTheme="minorHAnsi" w:cstheme="minorBidi"/>
                <w:sz w:val="28"/>
                <w:szCs w:val="28"/>
              </w:rPr>
            </w:pPr>
            <w:r w:rsidRPr="002A50EC">
              <w:rPr>
                <w:rFonts w:asciiTheme="minorHAnsi" w:hAnsiTheme="minorHAnsi" w:cstheme="minorBidi"/>
                <w:sz w:val="28"/>
                <w:szCs w:val="28"/>
              </w:rPr>
              <w:t>Strategic approach to assets</w:t>
            </w:r>
          </w:p>
        </w:tc>
        <w:tc>
          <w:tcPr>
            <w:tcW w:w="3088" w:type="dxa"/>
            <w:tcBorders>
              <w:top w:val="single" w:sz="24" w:space="0" w:color="auto"/>
            </w:tcBorders>
            <w:vAlign w:val="center"/>
          </w:tcPr>
          <w:p w14:paraId="21F69742" w14:textId="6F82A404"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Data capture, storage and analysis</w:t>
            </w:r>
          </w:p>
        </w:tc>
        <w:tc>
          <w:tcPr>
            <w:tcW w:w="5045" w:type="dxa"/>
            <w:tcBorders>
              <w:top w:val="single" w:sz="24" w:space="0" w:color="auto"/>
              <w:right w:val="single" w:sz="24" w:space="0" w:color="auto"/>
            </w:tcBorders>
          </w:tcPr>
          <w:p w14:paraId="1E9D6BF9" w14:textId="77777777" w:rsidR="000F4ECF" w:rsidRPr="00C90C12" w:rsidRDefault="000F4ECF" w:rsidP="000F4ECF">
            <w:pPr>
              <w:numPr>
                <w:ilvl w:val="0"/>
                <w:numId w:val="24"/>
              </w:numPr>
              <w:rPr>
                <w:rFonts w:ascii="Arial" w:hAnsi="Arial" w:cs="Arial"/>
                <w:sz w:val="20"/>
                <w:szCs w:val="20"/>
              </w:rPr>
            </w:pPr>
            <w:r w:rsidRPr="00C90C12">
              <w:rPr>
                <w:rFonts w:ascii="Arial" w:hAnsi="Arial" w:cs="Arial"/>
                <w:sz w:val="20"/>
                <w:szCs w:val="20"/>
              </w:rPr>
              <w:t>A</w:t>
            </w:r>
            <w:r>
              <w:rPr>
                <w:rFonts w:ascii="Arial" w:hAnsi="Arial" w:cs="Arial"/>
                <w:sz w:val="20"/>
                <w:szCs w:val="20"/>
              </w:rPr>
              <w:t xml:space="preserve">sset </w:t>
            </w:r>
            <w:r w:rsidRPr="00C90C12">
              <w:rPr>
                <w:rFonts w:ascii="Arial" w:hAnsi="Arial" w:cs="Arial"/>
                <w:sz w:val="20"/>
                <w:szCs w:val="20"/>
              </w:rPr>
              <w:t>M</w:t>
            </w:r>
            <w:r>
              <w:rPr>
                <w:rFonts w:ascii="Arial" w:hAnsi="Arial" w:cs="Arial"/>
                <w:sz w:val="20"/>
                <w:szCs w:val="20"/>
              </w:rPr>
              <w:t xml:space="preserve">anagement </w:t>
            </w:r>
            <w:r w:rsidRPr="00C90C12">
              <w:rPr>
                <w:rFonts w:ascii="Arial" w:hAnsi="Arial" w:cs="Arial"/>
                <w:sz w:val="20"/>
                <w:szCs w:val="20"/>
              </w:rPr>
              <w:t>S</w:t>
            </w:r>
            <w:r>
              <w:rPr>
                <w:rFonts w:ascii="Arial" w:hAnsi="Arial" w:cs="Arial"/>
                <w:sz w:val="20"/>
                <w:szCs w:val="20"/>
              </w:rPr>
              <w:t>ystem (AMS)</w:t>
            </w:r>
          </w:p>
          <w:p w14:paraId="3160F4F2" w14:textId="1843F85D" w:rsidR="000F4ECF" w:rsidRPr="006061D0" w:rsidRDefault="000F4ECF" w:rsidP="00C1048E">
            <w:pPr>
              <w:numPr>
                <w:ilvl w:val="0"/>
                <w:numId w:val="24"/>
              </w:numPr>
              <w:contextualSpacing/>
              <w:rPr>
                <w:rFonts w:asciiTheme="minorHAnsi" w:hAnsiTheme="minorHAnsi" w:cstheme="minorBidi"/>
              </w:rPr>
            </w:pPr>
            <w:r w:rsidRPr="00C90C12">
              <w:rPr>
                <w:rFonts w:ascii="Arial" w:hAnsi="Arial" w:cs="Arial"/>
                <w:sz w:val="20"/>
                <w:szCs w:val="20"/>
              </w:rPr>
              <w:t xml:space="preserve">Systems </w:t>
            </w:r>
            <w:r>
              <w:rPr>
                <w:rFonts w:ascii="Arial" w:hAnsi="Arial" w:cs="Arial"/>
                <w:sz w:val="20"/>
                <w:szCs w:val="20"/>
              </w:rPr>
              <w:t>and processes</w:t>
            </w:r>
          </w:p>
        </w:tc>
      </w:tr>
      <w:tr w:rsidR="000F4ECF" w:rsidRPr="002A50EC" w14:paraId="6B5DD09F" w14:textId="77777777" w:rsidTr="007209F1">
        <w:tc>
          <w:tcPr>
            <w:tcW w:w="2549" w:type="dxa"/>
            <w:vMerge/>
            <w:tcBorders>
              <w:left w:val="single" w:sz="24" w:space="0" w:color="auto"/>
            </w:tcBorders>
            <w:vAlign w:val="center"/>
          </w:tcPr>
          <w:p w14:paraId="2BD217F1" w14:textId="77777777" w:rsidR="000F4ECF" w:rsidRPr="002A50EC" w:rsidRDefault="000F4ECF" w:rsidP="007209F1">
            <w:pPr>
              <w:jc w:val="center"/>
              <w:rPr>
                <w:rFonts w:asciiTheme="minorHAnsi" w:hAnsiTheme="minorHAnsi" w:cstheme="minorBidi"/>
                <w:sz w:val="28"/>
                <w:szCs w:val="28"/>
              </w:rPr>
            </w:pPr>
          </w:p>
        </w:tc>
        <w:tc>
          <w:tcPr>
            <w:tcW w:w="3088" w:type="dxa"/>
            <w:vAlign w:val="center"/>
          </w:tcPr>
          <w:p w14:paraId="35ED4401" w14:textId="238874D9"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Capacity and functions</w:t>
            </w:r>
          </w:p>
        </w:tc>
        <w:tc>
          <w:tcPr>
            <w:tcW w:w="5045" w:type="dxa"/>
            <w:tcBorders>
              <w:right w:val="single" w:sz="24" w:space="0" w:color="auto"/>
            </w:tcBorders>
          </w:tcPr>
          <w:p w14:paraId="2FA77A42" w14:textId="77777777" w:rsidR="000F4ECF" w:rsidRPr="00C90C12" w:rsidRDefault="000F4ECF" w:rsidP="000F4ECF">
            <w:pPr>
              <w:numPr>
                <w:ilvl w:val="0"/>
                <w:numId w:val="25"/>
              </w:numPr>
              <w:rPr>
                <w:rFonts w:ascii="Arial" w:hAnsi="Arial" w:cs="Arial"/>
                <w:sz w:val="20"/>
                <w:szCs w:val="20"/>
              </w:rPr>
            </w:pPr>
            <w:r w:rsidRPr="00C90C12">
              <w:rPr>
                <w:rFonts w:ascii="Arial" w:hAnsi="Arial" w:cs="Arial"/>
                <w:sz w:val="20"/>
                <w:szCs w:val="20"/>
              </w:rPr>
              <w:t>R</w:t>
            </w:r>
            <w:r>
              <w:rPr>
                <w:rFonts w:ascii="Arial" w:hAnsi="Arial" w:cs="Arial"/>
                <w:sz w:val="20"/>
                <w:szCs w:val="20"/>
              </w:rPr>
              <w:t xml:space="preserve">estructuring </w:t>
            </w:r>
          </w:p>
          <w:p w14:paraId="1ACAA662" w14:textId="4709FC43" w:rsidR="000F4ECF" w:rsidRPr="002A50EC" w:rsidRDefault="000F4ECF" w:rsidP="00C1048E">
            <w:pPr>
              <w:numPr>
                <w:ilvl w:val="0"/>
                <w:numId w:val="25"/>
              </w:numPr>
              <w:contextualSpacing/>
              <w:rPr>
                <w:rFonts w:asciiTheme="minorHAnsi" w:hAnsiTheme="minorHAnsi" w:cstheme="minorBidi"/>
              </w:rPr>
            </w:pPr>
            <w:r>
              <w:rPr>
                <w:rFonts w:ascii="Arial" w:hAnsi="Arial" w:cs="Arial"/>
                <w:sz w:val="20"/>
                <w:szCs w:val="20"/>
              </w:rPr>
              <w:t>B</w:t>
            </w:r>
            <w:r w:rsidRPr="00C90C12">
              <w:rPr>
                <w:rFonts w:ascii="Arial" w:hAnsi="Arial" w:cs="Arial"/>
                <w:sz w:val="20"/>
                <w:szCs w:val="20"/>
              </w:rPr>
              <w:t>acklog</w:t>
            </w:r>
            <w:r>
              <w:rPr>
                <w:rFonts w:ascii="Arial" w:hAnsi="Arial" w:cs="Arial"/>
                <w:sz w:val="20"/>
                <w:szCs w:val="20"/>
              </w:rPr>
              <w:t xml:space="preserve"> clearence</w:t>
            </w:r>
          </w:p>
        </w:tc>
      </w:tr>
      <w:tr w:rsidR="000F4ECF" w:rsidRPr="002A50EC" w14:paraId="0C7AFB40" w14:textId="77777777" w:rsidTr="007209F1">
        <w:tc>
          <w:tcPr>
            <w:tcW w:w="2549" w:type="dxa"/>
            <w:vMerge/>
            <w:tcBorders>
              <w:left w:val="single" w:sz="24" w:space="0" w:color="auto"/>
            </w:tcBorders>
            <w:vAlign w:val="center"/>
          </w:tcPr>
          <w:p w14:paraId="0919477F" w14:textId="77777777" w:rsidR="000F4ECF" w:rsidRPr="002A50EC" w:rsidRDefault="000F4ECF" w:rsidP="007209F1">
            <w:pPr>
              <w:jc w:val="center"/>
              <w:rPr>
                <w:rFonts w:asciiTheme="minorHAnsi" w:hAnsiTheme="minorHAnsi" w:cstheme="minorBidi"/>
                <w:sz w:val="28"/>
                <w:szCs w:val="28"/>
              </w:rPr>
            </w:pPr>
          </w:p>
        </w:tc>
        <w:tc>
          <w:tcPr>
            <w:tcW w:w="3088" w:type="dxa"/>
            <w:vAlign w:val="center"/>
          </w:tcPr>
          <w:p w14:paraId="29D87D9F"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Estate management</w:t>
            </w:r>
          </w:p>
        </w:tc>
        <w:tc>
          <w:tcPr>
            <w:tcW w:w="5045" w:type="dxa"/>
            <w:tcBorders>
              <w:right w:val="single" w:sz="24" w:space="0" w:color="auto"/>
            </w:tcBorders>
          </w:tcPr>
          <w:p w14:paraId="01FFC7CF" w14:textId="77777777" w:rsidR="000F4ECF" w:rsidRPr="00C90C12" w:rsidRDefault="000F4ECF" w:rsidP="000F4ECF">
            <w:pPr>
              <w:numPr>
                <w:ilvl w:val="0"/>
                <w:numId w:val="26"/>
              </w:numPr>
              <w:rPr>
                <w:rFonts w:ascii="Arial" w:hAnsi="Arial" w:cs="Arial"/>
                <w:sz w:val="20"/>
                <w:szCs w:val="20"/>
              </w:rPr>
            </w:pPr>
            <w:r w:rsidRPr="00C90C12">
              <w:rPr>
                <w:rFonts w:ascii="Arial" w:hAnsi="Arial" w:cs="Arial"/>
                <w:sz w:val="20"/>
                <w:szCs w:val="20"/>
              </w:rPr>
              <w:t>Classification of assets</w:t>
            </w:r>
          </w:p>
          <w:p w14:paraId="4CA10A31" w14:textId="77777777" w:rsidR="000F4ECF" w:rsidRPr="00C90C12" w:rsidRDefault="000F4ECF" w:rsidP="000F4ECF">
            <w:pPr>
              <w:numPr>
                <w:ilvl w:val="0"/>
                <w:numId w:val="26"/>
              </w:numPr>
              <w:rPr>
                <w:rFonts w:ascii="Arial" w:hAnsi="Arial" w:cs="Arial"/>
                <w:sz w:val="20"/>
                <w:szCs w:val="20"/>
              </w:rPr>
            </w:pPr>
            <w:r w:rsidRPr="00C90C12">
              <w:rPr>
                <w:rFonts w:ascii="Arial" w:hAnsi="Arial" w:cs="Arial"/>
                <w:sz w:val="20"/>
                <w:szCs w:val="20"/>
              </w:rPr>
              <w:t>Third sector and community assets</w:t>
            </w:r>
          </w:p>
          <w:p w14:paraId="77B8ED78" w14:textId="5910EA45" w:rsidR="000F4ECF" w:rsidRPr="009964C7" w:rsidRDefault="000F4ECF" w:rsidP="00C1048E">
            <w:pPr>
              <w:numPr>
                <w:ilvl w:val="0"/>
                <w:numId w:val="26"/>
              </w:numPr>
              <w:contextualSpacing/>
              <w:rPr>
                <w:rFonts w:asciiTheme="minorHAnsi" w:hAnsiTheme="minorHAnsi" w:cstheme="minorBidi"/>
              </w:rPr>
            </w:pPr>
            <w:r>
              <w:rPr>
                <w:rFonts w:ascii="Arial" w:hAnsi="Arial" w:cs="Arial"/>
                <w:sz w:val="20"/>
                <w:szCs w:val="20"/>
              </w:rPr>
              <w:t>‘</w:t>
            </w:r>
            <w:r w:rsidRPr="00C90C12">
              <w:rPr>
                <w:rFonts w:ascii="Arial" w:hAnsi="Arial" w:cs="Arial"/>
                <w:sz w:val="20"/>
                <w:szCs w:val="20"/>
              </w:rPr>
              <w:t>Urban Files</w:t>
            </w:r>
            <w:r>
              <w:rPr>
                <w:rFonts w:ascii="Arial" w:hAnsi="Arial" w:cs="Arial"/>
                <w:sz w:val="20"/>
                <w:szCs w:val="20"/>
              </w:rPr>
              <w:t>’</w:t>
            </w:r>
          </w:p>
        </w:tc>
      </w:tr>
      <w:tr w:rsidR="000F4ECF" w:rsidRPr="00253875" w14:paraId="60E2614F" w14:textId="77777777" w:rsidTr="007209F1">
        <w:tc>
          <w:tcPr>
            <w:tcW w:w="2549" w:type="dxa"/>
            <w:vMerge/>
            <w:tcBorders>
              <w:left w:val="single" w:sz="24" w:space="0" w:color="auto"/>
              <w:bottom w:val="single" w:sz="24" w:space="0" w:color="auto"/>
            </w:tcBorders>
            <w:vAlign w:val="center"/>
          </w:tcPr>
          <w:p w14:paraId="65057407" w14:textId="77777777" w:rsidR="000F4ECF" w:rsidRPr="002A50EC" w:rsidRDefault="000F4ECF" w:rsidP="007209F1">
            <w:pPr>
              <w:jc w:val="center"/>
              <w:rPr>
                <w:rFonts w:asciiTheme="minorHAnsi" w:hAnsiTheme="minorHAnsi" w:cstheme="minorBidi"/>
                <w:sz w:val="28"/>
                <w:szCs w:val="28"/>
              </w:rPr>
            </w:pPr>
          </w:p>
        </w:tc>
        <w:tc>
          <w:tcPr>
            <w:tcW w:w="3088" w:type="dxa"/>
            <w:tcBorders>
              <w:bottom w:val="single" w:sz="24" w:space="0" w:color="auto"/>
            </w:tcBorders>
            <w:vAlign w:val="center"/>
          </w:tcPr>
          <w:p w14:paraId="1D413013"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Governance and partnerships</w:t>
            </w:r>
          </w:p>
        </w:tc>
        <w:tc>
          <w:tcPr>
            <w:tcW w:w="5045" w:type="dxa"/>
            <w:tcBorders>
              <w:bottom w:val="single" w:sz="24" w:space="0" w:color="auto"/>
              <w:right w:val="single" w:sz="24" w:space="0" w:color="auto"/>
            </w:tcBorders>
          </w:tcPr>
          <w:p w14:paraId="662A2FEA" w14:textId="77777777" w:rsidR="000F4ECF" w:rsidRPr="00C90C12" w:rsidRDefault="000F4ECF" w:rsidP="000F4ECF">
            <w:pPr>
              <w:numPr>
                <w:ilvl w:val="0"/>
                <w:numId w:val="26"/>
              </w:numPr>
              <w:rPr>
                <w:rFonts w:ascii="Arial" w:hAnsi="Arial" w:cs="Arial"/>
                <w:sz w:val="20"/>
                <w:szCs w:val="20"/>
              </w:rPr>
            </w:pPr>
            <w:r w:rsidRPr="00C90C12">
              <w:rPr>
                <w:rFonts w:ascii="Arial" w:hAnsi="Arial" w:cs="Arial"/>
                <w:sz w:val="20"/>
                <w:szCs w:val="20"/>
              </w:rPr>
              <w:t>Asset Management Board</w:t>
            </w:r>
          </w:p>
          <w:p w14:paraId="7B7D179E" w14:textId="77777777" w:rsidR="000F4ECF" w:rsidRPr="00C90C12" w:rsidRDefault="000F4ECF" w:rsidP="000F4ECF">
            <w:pPr>
              <w:numPr>
                <w:ilvl w:val="0"/>
                <w:numId w:val="26"/>
              </w:numPr>
              <w:rPr>
                <w:rFonts w:ascii="Arial" w:hAnsi="Arial" w:cs="Arial"/>
                <w:sz w:val="20"/>
                <w:szCs w:val="20"/>
              </w:rPr>
            </w:pPr>
            <w:r w:rsidRPr="00C90C12">
              <w:rPr>
                <w:rFonts w:ascii="Arial" w:hAnsi="Arial" w:cs="Arial"/>
                <w:sz w:val="20"/>
                <w:szCs w:val="20"/>
              </w:rPr>
              <w:t xml:space="preserve">Partner engagement </w:t>
            </w:r>
          </w:p>
          <w:p w14:paraId="5A469581" w14:textId="09001305" w:rsidR="000F4ECF" w:rsidRPr="00253875" w:rsidRDefault="000F4ECF" w:rsidP="00C1048E">
            <w:pPr>
              <w:numPr>
                <w:ilvl w:val="0"/>
                <w:numId w:val="26"/>
              </w:numPr>
              <w:contextualSpacing/>
              <w:rPr>
                <w:rFonts w:asciiTheme="minorHAnsi" w:hAnsiTheme="minorHAnsi" w:cstheme="minorBidi"/>
              </w:rPr>
            </w:pPr>
            <w:r w:rsidRPr="00C90C12">
              <w:rPr>
                <w:rFonts w:ascii="Arial" w:hAnsi="Arial" w:cs="Arial"/>
                <w:sz w:val="20"/>
                <w:szCs w:val="20"/>
              </w:rPr>
              <w:t>Schools estate</w:t>
            </w:r>
          </w:p>
        </w:tc>
      </w:tr>
      <w:tr w:rsidR="000F4ECF" w:rsidRPr="002A50EC" w14:paraId="2860417B" w14:textId="77777777" w:rsidTr="007209F1">
        <w:tc>
          <w:tcPr>
            <w:tcW w:w="2549" w:type="dxa"/>
            <w:vMerge w:val="restart"/>
            <w:tcBorders>
              <w:top w:val="single" w:sz="24" w:space="0" w:color="auto"/>
              <w:left w:val="single" w:sz="24" w:space="0" w:color="auto"/>
            </w:tcBorders>
            <w:vAlign w:val="center"/>
          </w:tcPr>
          <w:p w14:paraId="7725AC69" w14:textId="77777777" w:rsidR="000F4ECF" w:rsidRPr="002A50EC" w:rsidRDefault="000F4ECF" w:rsidP="007209F1">
            <w:pPr>
              <w:jc w:val="center"/>
              <w:rPr>
                <w:rFonts w:asciiTheme="minorHAnsi" w:hAnsiTheme="minorHAnsi" w:cstheme="minorBidi"/>
                <w:sz w:val="28"/>
                <w:szCs w:val="28"/>
              </w:rPr>
            </w:pPr>
            <w:r w:rsidRPr="002A50EC">
              <w:rPr>
                <w:rFonts w:asciiTheme="minorHAnsi" w:hAnsiTheme="minorHAnsi" w:cstheme="minorBidi"/>
                <w:sz w:val="28"/>
                <w:szCs w:val="28"/>
              </w:rPr>
              <w:t>Accommodation strategy for the operational estate</w:t>
            </w:r>
          </w:p>
        </w:tc>
        <w:tc>
          <w:tcPr>
            <w:tcW w:w="3088" w:type="dxa"/>
            <w:tcBorders>
              <w:top w:val="single" w:sz="24" w:space="0" w:color="auto"/>
            </w:tcBorders>
            <w:vAlign w:val="center"/>
          </w:tcPr>
          <w:p w14:paraId="7B543DF7"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Asset optimisation</w:t>
            </w:r>
          </w:p>
        </w:tc>
        <w:tc>
          <w:tcPr>
            <w:tcW w:w="5045" w:type="dxa"/>
            <w:tcBorders>
              <w:top w:val="single" w:sz="24" w:space="0" w:color="auto"/>
              <w:right w:val="single" w:sz="24" w:space="0" w:color="auto"/>
            </w:tcBorders>
          </w:tcPr>
          <w:p w14:paraId="3A5C3E55" w14:textId="77777777" w:rsidR="000F4ECF" w:rsidRPr="00C90C12" w:rsidRDefault="000F4ECF" w:rsidP="000F4ECF">
            <w:pPr>
              <w:numPr>
                <w:ilvl w:val="0"/>
                <w:numId w:val="27"/>
              </w:numPr>
              <w:rPr>
                <w:rFonts w:ascii="Arial" w:hAnsi="Arial" w:cs="Arial"/>
                <w:sz w:val="20"/>
                <w:szCs w:val="20"/>
              </w:rPr>
            </w:pPr>
            <w:r w:rsidRPr="00C90C12">
              <w:rPr>
                <w:rFonts w:ascii="Arial" w:hAnsi="Arial" w:cs="Arial"/>
                <w:sz w:val="20"/>
                <w:szCs w:val="20"/>
              </w:rPr>
              <w:t>Refocusing the operational estate</w:t>
            </w:r>
          </w:p>
          <w:p w14:paraId="7C1E1032" w14:textId="7FD01692" w:rsidR="000F4ECF" w:rsidRPr="002A50EC" w:rsidRDefault="000F4ECF" w:rsidP="00C1048E">
            <w:pPr>
              <w:numPr>
                <w:ilvl w:val="0"/>
                <w:numId w:val="27"/>
              </w:numPr>
              <w:contextualSpacing/>
              <w:rPr>
                <w:rFonts w:asciiTheme="minorHAnsi" w:hAnsiTheme="minorHAnsi" w:cstheme="minorBidi"/>
              </w:rPr>
            </w:pPr>
            <w:r w:rsidRPr="00C90C12">
              <w:rPr>
                <w:rFonts w:ascii="Arial" w:hAnsi="Arial" w:cs="Arial"/>
                <w:sz w:val="20"/>
                <w:szCs w:val="20"/>
              </w:rPr>
              <w:t>New income</w:t>
            </w:r>
          </w:p>
        </w:tc>
      </w:tr>
      <w:tr w:rsidR="000F4ECF" w:rsidRPr="002A50EC" w14:paraId="7BE16D7C" w14:textId="77777777" w:rsidTr="007209F1">
        <w:tc>
          <w:tcPr>
            <w:tcW w:w="2549" w:type="dxa"/>
            <w:vMerge/>
            <w:tcBorders>
              <w:left w:val="single" w:sz="24" w:space="0" w:color="auto"/>
            </w:tcBorders>
            <w:vAlign w:val="center"/>
          </w:tcPr>
          <w:p w14:paraId="0FBCD424" w14:textId="77777777" w:rsidR="000F4ECF" w:rsidRPr="002A50EC" w:rsidRDefault="000F4ECF" w:rsidP="007209F1">
            <w:pPr>
              <w:jc w:val="center"/>
              <w:rPr>
                <w:rFonts w:asciiTheme="minorHAnsi" w:hAnsiTheme="minorHAnsi" w:cstheme="minorBidi"/>
                <w:sz w:val="28"/>
                <w:szCs w:val="28"/>
              </w:rPr>
            </w:pPr>
          </w:p>
        </w:tc>
        <w:tc>
          <w:tcPr>
            <w:tcW w:w="3088" w:type="dxa"/>
            <w:vAlign w:val="center"/>
          </w:tcPr>
          <w:p w14:paraId="5A23355B"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 xml:space="preserve">FM </w:t>
            </w:r>
          </w:p>
        </w:tc>
        <w:tc>
          <w:tcPr>
            <w:tcW w:w="5045" w:type="dxa"/>
            <w:tcBorders>
              <w:right w:val="single" w:sz="24" w:space="0" w:color="auto"/>
            </w:tcBorders>
          </w:tcPr>
          <w:p w14:paraId="08290650" w14:textId="77777777" w:rsidR="000F4ECF" w:rsidRPr="00C90C12" w:rsidRDefault="000F4ECF" w:rsidP="000F4ECF">
            <w:pPr>
              <w:numPr>
                <w:ilvl w:val="0"/>
                <w:numId w:val="28"/>
              </w:numPr>
              <w:rPr>
                <w:rFonts w:ascii="Arial" w:hAnsi="Arial" w:cs="Arial"/>
                <w:sz w:val="20"/>
                <w:szCs w:val="20"/>
              </w:rPr>
            </w:pPr>
            <w:r>
              <w:rPr>
                <w:rFonts w:ascii="Arial" w:hAnsi="Arial" w:cs="Arial"/>
                <w:sz w:val="20"/>
                <w:szCs w:val="20"/>
              </w:rPr>
              <w:t>R</w:t>
            </w:r>
            <w:r w:rsidRPr="00C90C12">
              <w:rPr>
                <w:rFonts w:ascii="Arial" w:hAnsi="Arial" w:cs="Arial"/>
                <w:sz w:val="20"/>
                <w:szCs w:val="20"/>
              </w:rPr>
              <w:t>ealignment of contracts</w:t>
            </w:r>
          </w:p>
          <w:p w14:paraId="3077B82D" w14:textId="28E3DAA5" w:rsidR="000F4ECF" w:rsidRPr="002A50EC" w:rsidRDefault="000F4ECF" w:rsidP="00C1048E">
            <w:pPr>
              <w:numPr>
                <w:ilvl w:val="0"/>
                <w:numId w:val="28"/>
              </w:numPr>
              <w:contextualSpacing/>
              <w:rPr>
                <w:rFonts w:asciiTheme="minorHAnsi" w:hAnsiTheme="minorHAnsi" w:cstheme="minorBidi"/>
              </w:rPr>
            </w:pPr>
            <w:r w:rsidRPr="00C90C12">
              <w:rPr>
                <w:rFonts w:ascii="Arial" w:hAnsi="Arial" w:cs="Arial"/>
                <w:sz w:val="20"/>
                <w:szCs w:val="20"/>
              </w:rPr>
              <w:t>Integration of functions</w:t>
            </w:r>
          </w:p>
        </w:tc>
      </w:tr>
      <w:tr w:rsidR="000F4ECF" w:rsidRPr="002A50EC" w14:paraId="644B4937" w14:textId="77777777" w:rsidTr="007209F1">
        <w:tc>
          <w:tcPr>
            <w:tcW w:w="2549" w:type="dxa"/>
            <w:vMerge/>
            <w:tcBorders>
              <w:left w:val="single" w:sz="24" w:space="0" w:color="auto"/>
              <w:bottom w:val="single" w:sz="24" w:space="0" w:color="auto"/>
            </w:tcBorders>
            <w:vAlign w:val="center"/>
          </w:tcPr>
          <w:p w14:paraId="123237C5" w14:textId="77777777" w:rsidR="000F4ECF" w:rsidRPr="002A50EC" w:rsidRDefault="000F4ECF" w:rsidP="007209F1">
            <w:pPr>
              <w:jc w:val="center"/>
              <w:rPr>
                <w:rFonts w:asciiTheme="minorHAnsi" w:hAnsiTheme="minorHAnsi" w:cstheme="minorBidi"/>
                <w:sz w:val="28"/>
                <w:szCs w:val="28"/>
              </w:rPr>
            </w:pPr>
          </w:p>
        </w:tc>
        <w:tc>
          <w:tcPr>
            <w:tcW w:w="3088" w:type="dxa"/>
            <w:tcBorders>
              <w:bottom w:val="single" w:sz="24" w:space="0" w:color="auto"/>
            </w:tcBorders>
            <w:vAlign w:val="center"/>
          </w:tcPr>
          <w:p w14:paraId="2B922EA6"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Sustainable and efficient estate</w:t>
            </w:r>
          </w:p>
        </w:tc>
        <w:tc>
          <w:tcPr>
            <w:tcW w:w="5045" w:type="dxa"/>
            <w:tcBorders>
              <w:bottom w:val="single" w:sz="24" w:space="0" w:color="auto"/>
              <w:right w:val="single" w:sz="24" w:space="0" w:color="auto"/>
            </w:tcBorders>
          </w:tcPr>
          <w:p w14:paraId="00B2A6EA" w14:textId="77777777" w:rsidR="000F4ECF" w:rsidRPr="00C90C12" w:rsidRDefault="000F4ECF" w:rsidP="000F4ECF">
            <w:pPr>
              <w:numPr>
                <w:ilvl w:val="0"/>
                <w:numId w:val="29"/>
              </w:numPr>
              <w:rPr>
                <w:rFonts w:ascii="Arial" w:hAnsi="Arial" w:cs="Arial"/>
                <w:sz w:val="20"/>
                <w:szCs w:val="20"/>
              </w:rPr>
            </w:pPr>
            <w:r w:rsidRPr="00C90C12">
              <w:rPr>
                <w:rFonts w:ascii="Arial" w:hAnsi="Arial" w:cs="Arial"/>
                <w:sz w:val="20"/>
                <w:szCs w:val="20"/>
              </w:rPr>
              <w:t>Carbon/energy targets</w:t>
            </w:r>
          </w:p>
          <w:p w14:paraId="0372C063" w14:textId="60BA19C0" w:rsidR="000F4ECF" w:rsidRPr="002A50EC" w:rsidRDefault="000F4ECF" w:rsidP="00C1048E">
            <w:pPr>
              <w:numPr>
                <w:ilvl w:val="0"/>
                <w:numId w:val="29"/>
              </w:numPr>
              <w:contextualSpacing/>
              <w:rPr>
                <w:rFonts w:asciiTheme="minorHAnsi" w:hAnsiTheme="minorHAnsi" w:cstheme="minorBidi"/>
              </w:rPr>
            </w:pPr>
            <w:r w:rsidRPr="00C90C12">
              <w:rPr>
                <w:rFonts w:ascii="Arial" w:hAnsi="Arial" w:cs="Arial"/>
                <w:sz w:val="20"/>
                <w:szCs w:val="20"/>
              </w:rPr>
              <w:t>Corporate sustainability</w:t>
            </w:r>
          </w:p>
        </w:tc>
      </w:tr>
      <w:tr w:rsidR="000F4ECF" w:rsidRPr="002A50EC" w14:paraId="371534D8" w14:textId="77777777" w:rsidTr="007209F1">
        <w:tc>
          <w:tcPr>
            <w:tcW w:w="2549" w:type="dxa"/>
            <w:vMerge w:val="restart"/>
            <w:tcBorders>
              <w:top w:val="single" w:sz="24" w:space="0" w:color="auto"/>
              <w:left w:val="single" w:sz="24" w:space="0" w:color="auto"/>
            </w:tcBorders>
            <w:vAlign w:val="center"/>
          </w:tcPr>
          <w:p w14:paraId="3744A61D" w14:textId="77777777" w:rsidR="000F4ECF" w:rsidRPr="002A50EC" w:rsidRDefault="000F4ECF" w:rsidP="007209F1">
            <w:pPr>
              <w:jc w:val="center"/>
              <w:rPr>
                <w:rFonts w:asciiTheme="minorHAnsi" w:hAnsiTheme="minorHAnsi" w:cstheme="minorBidi"/>
                <w:sz w:val="28"/>
                <w:szCs w:val="28"/>
              </w:rPr>
            </w:pPr>
            <w:r w:rsidRPr="002A50EC">
              <w:rPr>
                <w:rFonts w:asciiTheme="minorHAnsi" w:hAnsiTheme="minorHAnsi" w:cstheme="minorBidi"/>
                <w:sz w:val="28"/>
                <w:szCs w:val="28"/>
              </w:rPr>
              <w:t>Commercial estate</w:t>
            </w:r>
          </w:p>
        </w:tc>
        <w:tc>
          <w:tcPr>
            <w:tcW w:w="3088" w:type="dxa"/>
            <w:tcBorders>
              <w:top w:val="single" w:sz="24" w:space="0" w:color="auto"/>
            </w:tcBorders>
            <w:vAlign w:val="center"/>
          </w:tcPr>
          <w:p w14:paraId="5FA565EC"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A better balanced portfolio</w:t>
            </w:r>
          </w:p>
        </w:tc>
        <w:tc>
          <w:tcPr>
            <w:tcW w:w="5045" w:type="dxa"/>
            <w:tcBorders>
              <w:top w:val="single" w:sz="24" w:space="0" w:color="auto"/>
              <w:right w:val="single" w:sz="24" w:space="0" w:color="auto"/>
            </w:tcBorders>
          </w:tcPr>
          <w:p w14:paraId="67440232" w14:textId="26C4C718" w:rsidR="000F4ECF" w:rsidRPr="00122F96" w:rsidRDefault="000F4ECF" w:rsidP="00C1048E">
            <w:pPr>
              <w:numPr>
                <w:ilvl w:val="0"/>
                <w:numId w:val="30"/>
              </w:numPr>
              <w:contextualSpacing/>
              <w:rPr>
                <w:rFonts w:asciiTheme="minorHAnsi" w:hAnsiTheme="minorHAnsi" w:cstheme="minorBidi"/>
              </w:rPr>
            </w:pPr>
            <w:r w:rsidRPr="00C90C12">
              <w:rPr>
                <w:rFonts w:ascii="Arial" w:hAnsi="Arial" w:cs="Arial"/>
                <w:sz w:val="20"/>
                <w:szCs w:val="20"/>
              </w:rPr>
              <w:t>Development of underutilised commercial and housing assets</w:t>
            </w:r>
          </w:p>
        </w:tc>
      </w:tr>
      <w:tr w:rsidR="000F4ECF" w:rsidRPr="002A50EC" w14:paraId="5483E36D" w14:textId="77777777" w:rsidTr="007209F1">
        <w:tc>
          <w:tcPr>
            <w:tcW w:w="2549" w:type="dxa"/>
            <w:vMerge/>
            <w:tcBorders>
              <w:left w:val="single" w:sz="24" w:space="0" w:color="auto"/>
              <w:bottom w:val="single" w:sz="24" w:space="0" w:color="auto"/>
            </w:tcBorders>
            <w:vAlign w:val="center"/>
          </w:tcPr>
          <w:p w14:paraId="439925E6" w14:textId="77777777" w:rsidR="000F4ECF" w:rsidRPr="002A50EC" w:rsidRDefault="000F4ECF" w:rsidP="007209F1">
            <w:pPr>
              <w:jc w:val="center"/>
              <w:rPr>
                <w:rFonts w:asciiTheme="minorHAnsi" w:hAnsiTheme="minorHAnsi" w:cstheme="minorBidi"/>
                <w:sz w:val="28"/>
                <w:szCs w:val="28"/>
              </w:rPr>
            </w:pPr>
          </w:p>
        </w:tc>
        <w:tc>
          <w:tcPr>
            <w:tcW w:w="3088" w:type="dxa"/>
            <w:tcBorders>
              <w:bottom w:val="single" w:sz="24" w:space="0" w:color="auto"/>
            </w:tcBorders>
            <w:vAlign w:val="center"/>
          </w:tcPr>
          <w:p w14:paraId="654FC3D1" w14:textId="77777777" w:rsidR="000F4ECF" w:rsidRPr="002A50EC" w:rsidRDefault="000F4ECF" w:rsidP="007209F1">
            <w:pPr>
              <w:rPr>
                <w:rFonts w:asciiTheme="minorHAnsi" w:hAnsiTheme="minorHAnsi" w:cstheme="minorBidi"/>
                <w:sz w:val="24"/>
                <w:szCs w:val="24"/>
              </w:rPr>
            </w:pPr>
            <w:r w:rsidRPr="002A50EC">
              <w:rPr>
                <w:rFonts w:asciiTheme="minorHAnsi" w:hAnsiTheme="minorHAnsi" w:cstheme="minorBidi"/>
                <w:sz w:val="24"/>
                <w:szCs w:val="24"/>
              </w:rPr>
              <w:t>Increased income</w:t>
            </w:r>
          </w:p>
        </w:tc>
        <w:tc>
          <w:tcPr>
            <w:tcW w:w="5045" w:type="dxa"/>
            <w:tcBorders>
              <w:bottom w:val="single" w:sz="24" w:space="0" w:color="auto"/>
              <w:right w:val="single" w:sz="24" w:space="0" w:color="auto"/>
            </w:tcBorders>
          </w:tcPr>
          <w:p w14:paraId="0E342E00" w14:textId="77777777" w:rsidR="000F4ECF" w:rsidRPr="00C90C12" w:rsidRDefault="000F4ECF" w:rsidP="000F4ECF">
            <w:pPr>
              <w:numPr>
                <w:ilvl w:val="0"/>
                <w:numId w:val="31"/>
              </w:numPr>
              <w:rPr>
                <w:rFonts w:ascii="Arial" w:hAnsi="Arial" w:cs="Arial"/>
                <w:sz w:val="20"/>
                <w:szCs w:val="20"/>
              </w:rPr>
            </w:pPr>
            <w:r w:rsidRPr="00C90C12">
              <w:rPr>
                <w:rFonts w:ascii="Arial" w:hAnsi="Arial" w:cs="Arial"/>
                <w:sz w:val="20"/>
                <w:szCs w:val="20"/>
              </w:rPr>
              <w:t>Rent review of all assets and programme of lease renewals and re-gears</w:t>
            </w:r>
          </w:p>
          <w:p w14:paraId="758D9B18" w14:textId="02D56AC1" w:rsidR="000F4ECF" w:rsidRPr="002A50EC" w:rsidRDefault="000F4ECF" w:rsidP="00C1048E">
            <w:pPr>
              <w:numPr>
                <w:ilvl w:val="0"/>
                <w:numId w:val="31"/>
              </w:numPr>
              <w:contextualSpacing/>
              <w:rPr>
                <w:rFonts w:asciiTheme="minorHAnsi" w:hAnsiTheme="minorHAnsi" w:cstheme="minorBidi"/>
              </w:rPr>
            </w:pPr>
            <w:r w:rsidRPr="00C90C12">
              <w:rPr>
                <w:rFonts w:ascii="Arial" w:hAnsi="Arial" w:cs="Arial"/>
                <w:sz w:val="20"/>
                <w:szCs w:val="20"/>
              </w:rPr>
              <w:t>Proactive income collection, void minimisation and debt recovery</w:t>
            </w:r>
          </w:p>
        </w:tc>
      </w:tr>
    </w:tbl>
    <w:p w14:paraId="3D962C69" w14:textId="13EEDB9B" w:rsidR="000E36AB" w:rsidRPr="000F4ECF" w:rsidRDefault="000E36AB">
      <w:pPr>
        <w:spacing w:after="200" w:line="276" w:lineRule="auto"/>
        <w:rPr>
          <w:rFonts w:asciiTheme="minorHAnsi" w:hAnsiTheme="minorHAnsi" w:cstheme="minorHAnsi"/>
          <w:bCs/>
          <w:sz w:val="24"/>
          <w:szCs w:val="24"/>
        </w:rPr>
      </w:pPr>
    </w:p>
    <w:p w14:paraId="75B4FD65" w14:textId="74F10D65" w:rsidR="00A008EB" w:rsidRPr="000F4ECF" w:rsidRDefault="000F4ECF" w:rsidP="000A5E7A">
      <w:pPr>
        <w:rPr>
          <w:rFonts w:asciiTheme="minorHAnsi" w:hAnsiTheme="minorHAnsi" w:cstheme="minorHAnsi"/>
          <w:bCs/>
          <w:sz w:val="24"/>
          <w:szCs w:val="24"/>
        </w:rPr>
      </w:pPr>
      <w:r w:rsidRPr="000F4ECF">
        <w:rPr>
          <w:rFonts w:asciiTheme="minorHAnsi" w:hAnsiTheme="minorHAnsi" w:cstheme="minorHAnsi"/>
          <w:bCs/>
          <w:sz w:val="24"/>
          <w:szCs w:val="24"/>
        </w:rPr>
        <w:t>The final section of the Strategic Asset Management Plan describes the proposed approach to delivery, and summarises the outcomes and projects included within the body of the document, the approach to performance and risk management and the overall timetable for delivery</w:t>
      </w:r>
    </w:p>
    <w:p w14:paraId="6CD5F344" w14:textId="02737097" w:rsidR="00A008EB" w:rsidRPr="000F4ECF" w:rsidRDefault="00A008EB">
      <w:pPr>
        <w:spacing w:after="200" w:line="276" w:lineRule="auto"/>
        <w:rPr>
          <w:rFonts w:asciiTheme="minorHAnsi" w:hAnsiTheme="minorHAnsi" w:cstheme="minorHAnsi"/>
          <w:bCs/>
          <w:sz w:val="24"/>
          <w:szCs w:val="24"/>
        </w:rPr>
      </w:pPr>
    </w:p>
    <w:p w14:paraId="6C639AEC" w14:textId="77777777" w:rsidR="00A008EB" w:rsidRDefault="00A008EB">
      <w:pPr>
        <w:spacing w:after="200" w:line="276" w:lineRule="auto"/>
        <w:rPr>
          <w:b/>
          <w:bCs/>
          <w:sz w:val="28"/>
          <w:szCs w:val="28"/>
          <w:highlight w:val="lightGray"/>
        </w:rPr>
      </w:pPr>
      <w:r>
        <w:rPr>
          <w:b/>
          <w:bCs/>
          <w:sz w:val="28"/>
          <w:szCs w:val="28"/>
          <w:highlight w:val="lightGray"/>
        </w:rPr>
        <w:br w:type="page"/>
      </w:r>
    </w:p>
    <w:p w14:paraId="74864ED6" w14:textId="21B308C1" w:rsidR="000A5E7A" w:rsidRPr="005B724A" w:rsidRDefault="004019B8" w:rsidP="000A5E7A">
      <w:pPr>
        <w:rPr>
          <w:b/>
          <w:bCs/>
        </w:rPr>
      </w:pPr>
      <w:r w:rsidRPr="005B724A">
        <w:rPr>
          <w:b/>
          <w:bCs/>
          <w:sz w:val="28"/>
          <w:szCs w:val="28"/>
          <w:highlight w:val="lightGray"/>
        </w:rPr>
        <w:lastRenderedPageBreak/>
        <w:t xml:space="preserve">1) </w:t>
      </w:r>
      <w:r w:rsidRPr="005B724A">
        <w:rPr>
          <w:b/>
          <w:bCs/>
          <w:sz w:val="28"/>
          <w:szCs w:val="28"/>
          <w:highlight w:val="lightGray"/>
        </w:rPr>
        <w:tab/>
      </w:r>
      <w:r w:rsidR="00DF5FCF" w:rsidRPr="005B724A">
        <w:rPr>
          <w:b/>
          <w:bCs/>
          <w:sz w:val="28"/>
          <w:szCs w:val="28"/>
          <w:highlight w:val="lightGray"/>
        </w:rPr>
        <w:t>INTRODUCTION</w:t>
      </w:r>
      <w:r w:rsidR="000A5E7A" w:rsidRPr="005B724A">
        <w:rPr>
          <w:b/>
          <w:bCs/>
        </w:rPr>
        <w:t xml:space="preserve"> </w:t>
      </w:r>
      <w:r w:rsidR="000A5E7A" w:rsidRPr="005B724A">
        <w:rPr>
          <w:b/>
          <w:bCs/>
        </w:rPr>
        <w:tab/>
      </w:r>
      <w:r w:rsidR="000A5E7A" w:rsidRPr="005B724A">
        <w:rPr>
          <w:b/>
          <w:bCs/>
        </w:rPr>
        <w:tab/>
      </w:r>
    </w:p>
    <w:p w14:paraId="0C1FDFC5" w14:textId="77777777" w:rsidR="00DF5FCF" w:rsidRPr="005B724A" w:rsidRDefault="00DF5FCF" w:rsidP="00DF5FCF">
      <w:pPr>
        <w:rPr>
          <w:b/>
        </w:rPr>
      </w:pPr>
    </w:p>
    <w:p w14:paraId="7F4BB567" w14:textId="030DD761" w:rsidR="00DF5FCF" w:rsidRPr="00CB5BC4" w:rsidRDefault="00DF5FCF" w:rsidP="00DF5FCF">
      <w:pPr>
        <w:rPr>
          <w:b/>
          <w:sz w:val="24"/>
          <w:szCs w:val="24"/>
        </w:rPr>
      </w:pPr>
      <w:r w:rsidRPr="00CB5BC4">
        <w:rPr>
          <w:b/>
          <w:sz w:val="24"/>
          <w:szCs w:val="24"/>
        </w:rPr>
        <w:t>1.1</w:t>
      </w:r>
      <w:r w:rsidRPr="00CB5BC4">
        <w:rPr>
          <w:b/>
          <w:sz w:val="24"/>
          <w:szCs w:val="24"/>
        </w:rPr>
        <w:tab/>
        <w:t>Scope</w:t>
      </w:r>
    </w:p>
    <w:p w14:paraId="167B2190" w14:textId="77777777" w:rsidR="00DF5FCF" w:rsidRPr="005B724A" w:rsidRDefault="00DF5FCF" w:rsidP="00DF5FCF"/>
    <w:p w14:paraId="11BD0034" w14:textId="0595E008" w:rsidR="00DF5FCF" w:rsidRPr="005B724A" w:rsidRDefault="00DF5FCF" w:rsidP="00DF5FCF">
      <w:r w:rsidRPr="005B724A">
        <w:t>This document sets out Lewisham Council’s Strategic Asset Management Plan 201</w:t>
      </w:r>
      <w:r w:rsidR="005E4266">
        <w:t>5</w:t>
      </w:r>
      <w:r w:rsidRPr="005B724A">
        <w:t xml:space="preserve">-2020.  The </w:t>
      </w:r>
      <w:r w:rsidR="004B2C85" w:rsidRPr="005B724A">
        <w:t xml:space="preserve">Asset Management Plan </w:t>
      </w:r>
      <w:r w:rsidRPr="005B724A">
        <w:t xml:space="preserve">describes the Council’s approach to management of its assets and provides links to the operational and technical details that underpins the overall strategy.  </w:t>
      </w:r>
      <w:r w:rsidR="00BD3FD4" w:rsidRPr="005B724A">
        <w:t xml:space="preserve">This Asset Management Plan </w:t>
      </w:r>
      <w:r w:rsidR="004B2C85" w:rsidRPr="005B724A">
        <w:t>is intended to provide</w:t>
      </w:r>
      <w:r w:rsidR="00BD3FD4" w:rsidRPr="005B724A">
        <w:t xml:space="preserve"> the framework for decision-making across the estate and for individual buildings, </w:t>
      </w:r>
      <w:r w:rsidR="004B2C85" w:rsidRPr="005B724A">
        <w:t xml:space="preserve">and shape delivery of a resource at the heart of the Council’s current and future offer to residents. </w:t>
      </w:r>
    </w:p>
    <w:p w14:paraId="72E4EAF9" w14:textId="77777777" w:rsidR="00DF5FCF" w:rsidRPr="005B724A" w:rsidRDefault="00DF5FCF" w:rsidP="00DF5FCF"/>
    <w:p w14:paraId="53D71B96" w14:textId="77777777" w:rsidR="000E36AB" w:rsidRDefault="00DF5FCF" w:rsidP="00DF5FCF">
      <w:r w:rsidRPr="005B724A">
        <w:t xml:space="preserve">The </w:t>
      </w:r>
      <w:r w:rsidR="000E36AB">
        <w:t xml:space="preserve">central focus of this </w:t>
      </w:r>
      <w:r w:rsidRPr="005B724A">
        <w:t xml:space="preserve">Strategic Asset Management Plan is </w:t>
      </w:r>
      <w:r w:rsidR="000E36AB">
        <w:t xml:space="preserve">the Council’s </w:t>
      </w:r>
      <w:r w:rsidRPr="005B724A">
        <w:t xml:space="preserve">operational and commercial buildings, </w:t>
      </w:r>
      <w:r w:rsidR="000E36AB">
        <w:t xml:space="preserve">covering a wide range of corporate, </w:t>
      </w:r>
      <w:r w:rsidRPr="005B724A">
        <w:t>cultural and community facilities</w:t>
      </w:r>
      <w:r w:rsidR="000E36AB">
        <w:t xml:space="preserve">, </w:t>
      </w:r>
      <w:r w:rsidR="000E36AB" w:rsidRPr="005B724A">
        <w:t xml:space="preserve">education, public health </w:t>
      </w:r>
      <w:r w:rsidRPr="005B724A">
        <w:t xml:space="preserve">and a range of other associated non-domestic </w:t>
      </w:r>
      <w:r w:rsidR="000E36AB">
        <w:t xml:space="preserve">buildings </w:t>
      </w:r>
      <w:r w:rsidRPr="005B724A">
        <w:t xml:space="preserve">properties owned by the Council. </w:t>
      </w:r>
      <w:r w:rsidR="000E36AB">
        <w:t xml:space="preserve"> </w:t>
      </w:r>
    </w:p>
    <w:p w14:paraId="7C9C2CA9" w14:textId="77777777" w:rsidR="000E36AB" w:rsidRDefault="000E36AB" w:rsidP="00DF5FCF"/>
    <w:p w14:paraId="43839E57" w14:textId="3E737944" w:rsidR="00DF5FCF" w:rsidRPr="005B724A" w:rsidRDefault="000E36AB" w:rsidP="00DF5FCF">
      <w:r>
        <w:t xml:space="preserve">An important driver throughout this Strategy is the need to connect the approach to these operational and </w:t>
      </w:r>
      <w:r w:rsidRPr="00E1348C">
        <w:t xml:space="preserve">commercial sites with other assets </w:t>
      </w:r>
      <w:r w:rsidR="00D3349A" w:rsidRPr="00E1348C">
        <w:t>in an</w:t>
      </w:r>
      <w:r w:rsidRPr="00E1348C">
        <w:t>d around the borough, particularly highways, public realm, open spaces</w:t>
      </w:r>
      <w:r w:rsidR="00D3349A" w:rsidRPr="00E1348C">
        <w:t xml:space="preserve"> as</w:t>
      </w:r>
      <w:r w:rsidR="00D3349A">
        <w:t xml:space="preserve"> well as property and assets owned by relevant partners from across the public sector and beyond.</w:t>
      </w:r>
    </w:p>
    <w:p w14:paraId="58548D31" w14:textId="77777777" w:rsidR="00DF5FCF" w:rsidRPr="005B724A" w:rsidRDefault="00DF5FCF" w:rsidP="00DF5FCF">
      <w:r w:rsidRPr="005B724A">
        <w:t xml:space="preserve"> </w:t>
      </w:r>
    </w:p>
    <w:p w14:paraId="4525E2BF" w14:textId="3D5BD13F" w:rsidR="00DF5FCF" w:rsidRPr="005B724A" w:rsidRDefault="00DF5FCF" w:rsidP="00DF5FCF">
      <w:r w:rsidRPr="005B724A">
        <w:t xml:space="preserve">Taken together these assets are powerful levers for change.  </w:t>
      </w:r>
      <w:r w:rsidR="00D3349A">
        <w:t xml:space="preserve">The Council’s non-housing portfolio has a </w:t>
      </w:r>
      <w:r w:rsidRPr="005B724A">
        <w:t xml:space="preserve">significant, </w:t>
      </w:r>
      <w:r w:rsidRPr="00E1348C">
        <w:t>and growing, value of £1.</w:t>
      </w:r>
      <w:r w:rsidR="00B53F27">
        <w:t>05</w:t>
      </w:r>
      <w:r w:rsidR="00D3349A" w:rsidRPr="00E1348C">
        <w:t xml:space="preserve"> billion</w:t>
      </w:r>
      <w:r w:rsidR="00B53F27">
        <w:rPr>
          <w:rStyle w:val="FootnoteReference"/>
        </w:rPr>
        <w:footnoteReference w:id="1"/>
      </w:r>
      <w:r w:rsidRPr="00E1348C">
        <w:t xml:space="preserve"> and there is potential to increase levels of income generated. The total estate is a</w:t>
      </w:r>
      <w:r w:rsidRPr="005B724A">
        <w:t xml:space="preserve"> resource that can drive regeneration and economic growth, deliver the infrastructure to meet Lewisham’s needs now and into the future and deliver services improving residents’ quality of life.</w:t>
      </w:r>
    </w:p>
    <w:p w14:paraId="59789E8A" w14:textId="77777777" w:rsidR="00DF5FCF" w:rsidRPr="005B724A" w:rsidRDefault="00DF5FCF" w:rsidP="00DF5FCF"/>
    <w:p w14:paraId="032793EB" w14:textId="2CDFB956" w:rsidR="00BD3FD4" w:rsidRPr="005B724A" w:rsidRDefault="00BD3FD4" w:rsidP="00DF5FCF">
      <w:r w:rsidRPr="00E1348C">
        <w:t xml:space="preserve">Lewisham’s Strategic Asset Management Plan will be </w:t>
      </w:r>
      <w:r w:rsidR="00E752BA" w:rsidRPr="00E1348C">
        <w:t>revised</w:t>
      </w:r>
      <w:r w:rsidRPr="00E1348C">
        <w:t xml:space="preserve"> every three years.  The Council will also undertake to</w:t>
      </w:r>
      <w:r w:rsidRPr="005B724A">
        <w:t xml:space="preserve"> publish an Annual Business Report for corporate assets setting out progress against the aims and targets within the Strategic Asset Management Plan, highlighting key achievements and confirming the priorities for the following year. </w:t>
      </w:r>
    </w:p>
    <w:p w14:paraId="230FC63A" w14:textId="77777777" w:rsidR="004019B8" w:rsidRPr="005B724A" w:rsidRDefault="004019B8" w:rsidP="004019B8"/>
    <w:p w14:paraId="5F8B4DA5" w14:textId="18A696A6" w:rsidR="000A5E7A" w:rsidRPr="00CB5BC4" w:rsidRDefault="00DF5FCF" w:rsidP="004019B8">
      <w:pPr>
        <w:rPr>
          <w:b/>
          <w:sz w:val="24"/>
          <w:szCs w:val="24"/>
        </w:rPr>
      </w:pPr>
      <w:r w:rsidRPr="00CB5BC4">
        <w:rPr>
          <w:b/>
          <w:sz w:val="24"/>
          <w:szCs w:val="24"/>
        </w:rPr>
        <w:t>1.2</w:t>
      </w:r>
      <w:r w:rsidR="004019B8" w:rsidRPr="00CB5BC4">
        <w:rPr>
          <w:b/>
          <w:sz w:val="24"/>
          <w:szCs w:val="24"/>
        </w:rPr>
        <w:tab/>
      </w:r>
      <w:r w:rsidRPr="00CB5BC4">
        <w:rPr>
          <w:b/>
          <w:sz w:val="24"/>
          <w:szCs w:val="24"/>
        </w:rPr>
        <w:t>Context</w:t>
      </w:r>
    </w:p>
    <w:p w14:paraId="1BA21154" w14:textId="72E7F5E3" w:rsidR="00DD2249" w:rsidRPr="005B724A" w:rsidRDefault="00DD2249" w:rsidP="00DD2249"/>
    <w:p w14:paraId="0E518496" w14:textId="52120493" w:rsidR="00DA2800" w:rsidRPr="00DA2800" w:rsidRDefault="00DA2800" w:rsidP="00DA2800">
      <w:r w:rsidRPr="00DA2800">
        <w:t xml:space="preserve">One of the </w:t>
      </w:r>
      <w:r>
        <w:t xml:space="preserve">central </w:t>
      </w:r>
      <w:r w:rsidRPr="00DA2800">
        <w:t xml:space="preserve">strands of work in the </w:t>
      </w:r>
      <w:r>
        <w:t xml:space="preserve">Council’s previous </w:t>
      </w:r>
      <w:r w:rsidRPr="00DA2800">
        <w:t>Asset Management Plan was deliver</w:t>
      </w:r>
      <w:r>
        <w:t>ing</w:t>
      </w:r>
      <w:r w:rsidRPr="00DA2800">
        <w:t xml:space="preserve"> an asset rationalisation programme. The programme aimed at reducing the overall running cost of the operational estate by £1m over 2 years, </w:t>
      </w:r>
      <w:r w:rsidR="009964C7">
        <w:t xml:space="preserve">and </w:t>
      </w:r>
      <w:r w:rsidRPr="00DA2800">
        <w:t>outperformed th</w:t>
      </w:r>
      <w:r w:rsidR="009964C7">
        <w:t>is</w:t>
      </w:r>
      <w:r w:rsidRPr="00DA2800">
        <w:t xml:space="preserve"> target by approximately 20%. </w:t>
      </w:r>
    </w:p>
    <w:p w14:paraId="68582929" w14:textId="77777777" w:rsidR="00DA2800" w:rsidRPr="00DA2800" w:rsidRDefault="00DA2800" w:rsidP="00DA2800"/>
    <w:p w14:paraId="192FEC5A" w14:textId="670F6911" w:rsidR="00DA2800" w:rsidRPr="00DA2800" w:rsidRDefault="00DA2800" w:rsidP="00DA2800">
      <w:r w:rsidRPr="00DA2800">
        <w:t xml:space="preserve">The programme focus was on 8 broad “service areas” : Libraries; Adult Education; Depots; Adult Day Care; Youth Service; Early Years and Children Centres; Community Premises; and Catford Civic Complex.  For each service area the service delivery strategy was evaluated and its implications for property considered, resulting in the closure of number of buildings including the Town Hall </w:t>
      </w:r>
      <w:r w:rsidR="009964C7">
        <w:t>a</w:t>
      </w:r>
      <w:r w:rsidRPr="00DA2800">
        <w:t xml:space="preserve">nd a number of other </w:t>
      </w:r>
      <w:r w:rsidR="00BF3432" w:rsidRPr="00DA2800">
        <w:t>buildings</w:t>
      </w:r>
      <w:r w:rsidRPr="00DA2800">
        <w:t>.  In addition</w:t>
      </w:r>
      <w:r w:rsidR="00BF3432">
        <w:t>,</w:t>
      </w:r>
      <w:r w:rsidRPr="00DA2800">
        <w:t xml:space="preserve"> a number of library sites were switched from the operational </w:t>
      </w:r>
      <w:r w:rsidR="00BF3432" w:rsidRPr="00DA2800">
        <w:t>estate to</w:t>
      </w:r>
      <w:r w:rsidRPr="00DA2800">
        <w:t xml:space="preserve"> the commercial estate </w:t>
      </w:r>
      <w:r w:rsidR="00BF3432">
        <w:t xml:space="preserve">but </w:t>
      </w:r>
      <w:r w:rsidRPr="00DA2800">
        <w:t>with</w:t>
      </w:r>
      <w:r w:rsidR="00BF3432">
        <w:t xml:space="preserve"> a requirement that </w:t>
      </w:r>
      <w:r w:rsidR="00BF3432" w:rsidRPr="00DA2800">
        <w:t>library</w:t>
      </w:r>
      <w:r w:rsidRPr="00DA2800">
        <w:t xml:space="preserve"> </w:t>
      </w:r>
      <w:r w:rsidR="00BF3432">
        <w:t xml:space="preserve">provision and services </w:t>
      </w:r>
      <w:r w:rsidRPr="00DA2800">
        <w:t>continued to be offered through the site</w:t>
      </w:r>
      <w:r w:rsidR="00BF3432">
        <w:t xml:space="preserve">, maintaining the community use of the building while generating an </w:t>
      </w:r>
      <w:r w:rsidRPr="00DA2800">
        <w:t>income. The total savings generated by the asset rationalisation programme are in excess of £1.2m a year. A second phase of the programme is currently being delivered with total expected savings of circa £800k by March 2015.</w:t>
      </w:r>
    </w:p>
    <w:p w14:paraId="642F8DFC" w14:textId="77777777" w:rsidR="00DA2800" w:rsidRDefault="00DA2800" w:rsidP="00DD2249"/>
    <w:p w14:paraId="0BFC7086" w14:textId="55604CEB" w:rsidR="00DD2249" w:rsidRPr="005B724A" w:rsidRDefault="00BD3FD4" w:rsidP="00DD2249">
      <w:r w:rsidRPr="00E1348C">
        <w:t xml:space="preserve">The Council’s </w:t>
      </w:r>
      <w:r w:rsidR="00DA2800" w:rsidRPr="00E1348C">
        <w:t xml:space="preserve">previous </w:t>
      </w:r>
      <w:r w:rsidRPr="00E1348C">
        <w:t xml:space="preserve">Asset Management Plan was published in </w:t>
      </w:r>
      <w:r w:rsidR="00E752BA" w:rsidRPr="00E1348C">
        <w:t xml:space="preserve">2011, when the </w:t>
      </w:r>
      <w:r w:rsidR="00DD2249" w:rsidRPr="00E1348C">
        <w:t>extent of pressures on public</w:t>
      </w:r>
      <w:r w:rsidR="00DD2249" w:rsidRPr="005B724A">
        <w:t xml:space="preserve"> finances in terms of scale or duration was not </w:t>
      </w:r>
      <w:r w:rsidR="00E752BA" w:rsidRPr="005B724A">
        <w:t xml:space="preserve">apparent. </w:t>
      </w:r>
      <w:r w:rsidR="00DD2249" w:rsidRPr="005B724A">
        <w:t>The efficient use of resources will continue to be a central theme but the Council will not achieve the level of savings required through reductions in service levels and the closure and disposal of buildings alone</w:t>
      </w:r>
      <w:r w:rsidR="00E752BA" w:rsidRPr="005B724A">
        <w:t>.</w:t>
      </w:r>
    </w:p>
    <w:p w14:paraId="6E756A37" w14:textId="77777777" w:rsidR="00DD2249" w:rsidRPr="005B724A" w:rsidRDefault="00DD2249" w:rsidP="00DD2249"/>
    <w:p w14:paraId="2978C042" w14:textId="77777777" w:rsidR="00DD2249" w:rsidRPr="005B724A" w:rsidRDefault="00DD2249" w:rsidP="00DD2249">
      <w:r w:rsidRPr="005B724A">
        <w:t xml:space="preserve">Alongside financial pressures, the population of the borough is expected to grow significantly. The 2011 census describes a young, ethnically diverse and growing population, expected to increase by over 20% in 30 years to 340,000.  Meeting the needs of Lewisham residents now and going forwards in the context of the Council’s financial </w:t>
      </w:r>
      <w:r w:rsidRPr="005B724A">
        <w:lastRenderedPageBreak/>
        <w:t xml:space="preserve">pressures is the fundamental challenge across housing, education, healthcare as well as in relation to the borough’s wider infrastructure including transport links, utilities, broadband and resilience to flood risk and climate change.  </w:t>
      </w:r>
    </w:p>
    <w:p w14:paraId="18747C9F" w14:textId="77777777" w:rsidR="00DD2249" w:rsidRPr="005B724A" w:rsidRDefault="00DD2249" w:rsidP="00DD2249"/>
    <w:p w14:paraId="0449FB0F" w14:textId="30801505" w:rsidR="00DD2249" w:rsidRPr="005B724A" w:rsidRDefault="00DD2249" w:rsidP="00DD2249">
      <w:r w:rsidRPr="005B724A">
        <w:t xml:space="preserve">These are pressing and challenging issues. </w:t>
      </w:r>
      <w:r w:rsidR="00E752BA" w:rsidRPr="005B724A">
        <w:t xml:space="preserve"> </w:t>
      </w:r>
      <w:r w:rsidRPr="005B724A">
        <w:t>In response an unprecedented reshaping of the corporate appro</w:t>
      </w:r>
      <w:r w:rsidR="00E752BA" w:rsidRPr="005B724A">
        <w:t>ach to asset management is needed.</w:t>
      </w:r>
    </w:p>
    <w:p w14:paraId="25311C4F" w14:textId="77777777" w:rsidR="00DD2249" w:rsidRPr="005B724A" w:rsidRDefault="00DD2249" w:rsidP="00DD2249"/>
    <w:p w14:paraId="28D1478E" w14:textId="5629E757" w:rsidR="00C6135A" w:rsidRDefault="00DD2249" w:rsidP="00DD2249">
      <w:r w:rsidRPr="005B724A">
        <w:t>This needs to be based on a step-change in the Council’s approach to determining the use of buildings, taking as its starting point an assessment of service needs and the offer to residents rather than the existing asset base.  This assessment of service needs should include an evaluation of the physical space needed to deliver, an understanding of geographical constraints and the needs of clients using the service.  The outcome of this assessment will then be matched against available resources which can include Council owned assets, opportunities for shared space elsewhere in the public sector as well as assets in the community and commercial sectors.  This process should be focussed so that the outcome is a remaining operational estate that is financial</w:t>
      </w:r>
      <w:r w:rsidR="009964C7">
        <w:t>ly</w:t>
      </w:r>
      <w:r w:rsidRPr="005B724A">
        <w:t xml:space="preserve"> viable, </w:t>
      </w:r>
      <w:r w:rsidR="009964C7">
        <w:t xml:space="preserve">resilient, </w:t>
      </w:r>
      <w:r w:rsidRPr="005B724A">
        <w:t>fit-for-purpose and able to deliver the Counci</w:t>
      </w:r>
      <w:r w:rsidR="00897B1F">
        <w:t>l’s service offer to residents.</w:t>
      </w:r>
    </w:p>
    <w:p w14:paraId="325BDE3C" w14:textId="77777777" w:rsidR="00C6135A" w:rsidRPr="005B724A" w:rsidRDefault="00C6135A" w:rsidP="00DD2249"/>
    <w:p w14:paraId="1414B49E" w14:textId="15ECE4A4" w:rsidR="00DD2249" w:rsidRPr="00CB5BC4" w:rsidRDefault="00DD2249" w:rsidP="00DD2249">
      <w:pPr>
        <w:rPr>
          <w:b/>
          <w:sz w:val="24"/>
          <w:szCs w:val="24"/>
        </w:rPr>
      </w:pPr>
      <w:r w:rsidRPr="00CB5BC4">
        <w:rPr>
          <w:b/>
          <w:sz w:val="24"/>
          <w:szCs w:val="24"/>
        </w:rPr>
        <w:t>1.3</w:t>
      </w:r>
      <w:r w:rsidRPr="00CB5BC4">
        <w:rPr>
          <w:b/>
          <w:sz w:val="24"/>
          <w:szCs w:val="24"/>
        </w:rPr>
        <w:tab/>
      </w:r>
      <w:r w:rsidR="00BD3FD4" w:rsidRPr="00CB5BC4">
        <w:rPr>
          <w:b/>
          <w:sz w:val="24"/>
          <w:szCs w:val="24"/>
        </w:rPr>
        <w:t>Links to other corporate strategies</w:t>
      </w:r>
    </w:p>
    <w:p w14:paraId="21F39AED" w14:textId="77777777" w:rsidR="00DD2249" w:rsidRPr="005B724A" w:rsidRDefault="00DD2249" w:rsidP="00DD2249"/>
    <w:p w14:paraId="1F209EFE" w14:textId="202C6C58" w:rsidR="00AC41E3" w:rsidRPr="00AC41E3" w:rsidRDefault="00AC41E3" w:rsidP="00AC41E3">
      <w:r w:rsidRPr="00AC41E3">
        <w:t xml:space="preserve">The Council’s vision is to work together to ‘make Lewisham the best place in London to live, work and learn’. </w:t>
      </w:r>
      <w:r w:rsidRPr="00AC41E3">
        <w:rPr>
          <w:lang w:val="en-US"/>
        </w:rPr>
        <w:t xml:space="preserve">This vision is set out in </w:t>
      </w:r>
      <w:r w:rsidRPr="00AC41E3">
        <w:rPr>
          <w:i/>
          <w:lang w:val="en-US"/>
        </w:rPr>
        <w:t>Shaping our future</w:t>
      </w:r>
      <w:r w:rsidRPr="00AC41E3">
        <w:rPr>
          <w:lang w:val="en-US"/>
        </w:rPr>
        <w:t xml:space="preserve">, Lewisham’s Sustainable Community Strategy 2008-20. </w:t>
      </w:r>
      <w:r w:rsidRPr="00AC41E3">
        <w:t>Lewisham’s core values are to:</w:t>
      </w:r>
    </w:p>
    <w:p w14:paraId="6D025118" w14:textId="77777777" w:rsidR="00AC41E3" w:rsidRPr="00AC41E3" w:rsidRDefault="00AC41E3" w:rsidP="00AC41E3">
      <w:pPr>
        <w:ind w:left="720"/>
      </w:pPr>
      <w:r w:rsidRPr="00AC41E3">
        <w:t>• Put service to the public first</w:t>
      </w:r>
    </w:p>
    <w:p w14:paraId="0CEDFEF5" w14:textId="77777777" w:rsidR="00AC41E3" w:rsidRPr="00AC41E3" w:rsidRDefault="00AC41E3" w:rsidP="00AC41E3">
      <w:pPr>
        <w:ind w:left="720"/>
      </w:pPr>
      <w:r w:rsidRPr="00AC41E3">
        <w:t>• Respect all people and all communities</w:t>
      </w:r>
    </w:p>
    <w:p w14:paraId="215AAC96" w14:textId="77777777" w:rsidR="00AC41E3" w:rsidRPr="00AC41E3" w:rsidRDefault="00AC41E3" w:rsidP="00AC41E3">
      <w:pPr>
        <w:ind w:left="720"/>
      </w:pPr>
      <w:r w:rsidRPr="00AC41E3">
        <w:t>• Invest in employees</w:t>
      </w:r>
    </w:p>
    <w:p w14:paraId="2E9BB715" w14:textId="77777777" w:rsidR="00AC41E3" w:rsidRPr="00AC41E3" w:rsidRDefault="00AC41E3" w:rsidP="00AC41E3">
      <w:pPr>
        <w:ind w:left="720"/>
      </w:pPr>
      <w:r w:rsidRPr="00AC41E3">
        <w:t>• Be open, honest and fair in all we do.</w:t>
      </w:r>
    </w:p>
    <w:p w14:paraId="26CB6A23" w14:textId="77777777" w:rsidR="00AC41E3" w:rsidRPr="00AC41E3" w:rsidRDefault="00AC41E3" w:rsidP="00AC41E3"/>
    <w:p w14:paraId="16456D57" w14:textId="77777777" w:rsidR="00AC41E3" w:rsidRPr="005B724A" w:rsidRDefault="00AC41E3" w:rsidP="00AC41E3">
      <w:r w:rsidRPr="005B724A">
        <w:t xml:space="preserve">The Council’s assets are the frame within which service delivery takes place. </w:t>
      </w:r>
      <w:r>
        <w:t xml:space="preserve">They have a significant, and growing, value and represent </w:t>
      </w:r>
      <w:r w:rsidRPr="005B724A">
        <w:t xml:space="preserve">a means to </w:t>
      </w:r>
      <w:r>
        <w:t xml:space="preserve">drive </w:t>
      </w:r>
      <w:r w:rsidRPr="005B724A">
        <w:t xml:space="preserve">investment and resources despite the significant pressures on public finances.  The Strategic Asset Management Plan </w:t>
      </w:r>
      <w:r>
        <w:t xml:space="preserve">is </w:t>
      </w:r>
      <w:r w:rsidRPr="005B724A">
        <w:t xml:space="preserve">at the heart of </w:t>
      </w:r>
      <w:r>
        <w:t xml:space="preserve">delivering the corporate vision and plan and </w:t>
      </w:r>
      <w:r w:rsidRPr="005B724A">
        <w:t>the Council’s policies and programmes</w:t>
      </w:r>
      <w:r>
        <w:t xml:space="preserve"> going forward</w:t>
      </w:r>
      <w:r w:rsidRPr="005B724A">
        <w:t xml:space="preserve">. </w:t>
      </w:r>
    </w:p>
    <w:p w14:paraId="00806D9D" w14:textId="77777777" w:rsidR="00AC41E3" w:rsidRDefault="00AC41E3" w:rsidP="00AC41E3"/>
    <w:p w14:paraId="032A67FF" w14:textId="77777777" w:rsidR="00A37DE5" w:rsidRPr="00A37DE5" w:rsidRDefault="00A37DE5" w:rsidP="00A37DE5">
      <w:r w:rsidRPr="00A37DE5">
        <w:t>The Council is now in the fourth year of an eight year long period of resource reduction. Over the period 2010 to 2014 the Council made savings of over £100m. The Council developed principles by which savings were made during the period 2010 to 2014 and these same principles for savings apply for those being brought forward in respect of the period 2015 to 2018. This level of continual reduction means that proposals need to be increasingly transformational and are becoming increasingly difficult to identify and implement.</w:t>
      </w:r>
    </w:p>
    <w:p w14:paraId="0DC0A6BA" w14:textId="77777777" w:rsidR="00A37DE5" w:rsidRDefault="00A37DE5" w:rsidP="00A37DE5"/>
    <w:p w14:paraId="0CE45D0F" w14:textId="77777777" w:rsidR="00A37DE5" w:rsidRPr="00A37DE5" w:rsidRDefault="00A37DE5" w:rsidP="00A37DE5">
      <w:r w:rsidRPr="00A37DE5">
        <w:t xml:space="preserve">This transformatory programme is spearheaded by </w:t>
      </w:r>
      <w:r w:rsidRPr="0012094A">
        <w:rPr>
          <w:i/>
        </w:rPr>
        <w:t>Lewisham Future Programme</w:t>
      </w:r>
      <w:r w:rsidRPr="00A37DE5">
        <w:t xml:space="preserve"> a corporate initiative to enable the Council to seize the opportunities of growth in London and reposition itself strongly for the future, while at the same time living within the financial resources at its disposal. </w:t>
      </w:r>
    </w:p>
    <w:p w14:paraId="32C8E1DF" w14:textId="77777777" w:rsidR="00A37DE5" w:rsidRDefault="00A37DE5" w:rsidP="00A37DE5"/>
    <w:p w14:paraId="2FD2BD81" w14:textId="77777777" w:rsidR="00A37DE5" w:rsidRPr="00A37DE5" w:rsidRDefault="00A37DE5" w:rsidP="00A37DE5">
      <w:r w:rsidRPr="00A37DE5">
        <w:t xml:space="preserve">The Council faces an £85m budget gap over the three years to 2017/18 with an estimated £39m gap for 2015/16. The process of proposing savings for scrutiny and decision is already underway and the agreement of the 2015/16 budget at Council in February 2015 will be a key milestone in this process. </w:t>
      </w:r>
    </w:p>
    <w:p w14:paraId="6B42FE37" w14:textId="77777777" w:rsidR="00A37DE5" w:rsidRDefault="00A37DE5" w:rsidP="00DD2249"/>
    <w:p w14:paraId="4EAC7E60" w14:textId="7C461EA7" w:rsidR="00DD2249" w:rsidRPr="005B724A" w:rsidRDefault="00DD2249" w:rsidP="00DD2249">
      <w:r w:rsidRPr="005B724A">
        <w:t>The Strategic Asset Management Plan is in particular an opportunity to drive delivery of Lewisham’s approach to regeneration as established through a planned ‘refresh’ of the Regeneration Strategy 2008-2020.</w:t>
      </w:r>
      <w:r w:rsidR="009F1900">
        <w:t xml:space="preserve"> </w:t>
      </w:r>
      <w:r w:rsidRPr="005B724A">
        <w:t xml:space="preserve">The proposed ‘refresh’ of the </w:t>
      </w:r>
      <w:r w:rsidRPr="0012094A">
        <w:rPr>
          <w:i/>
        </w:rPr>
        <w:t>Regeneration Strategy</w:t>
      </w:r>
      <w:r w:rsidRPr="005B724A">
        <w:t xml:space="preserve"> will update the current document to reflect the different national and local economic circumstances since 2008 and respond to demographic changes forecast in the 2011 census. It will also be an opportunity to reframe the focus across the borough based on the evolving picture on housing, regeneration and development.</w:t>
      </w:r>
    </w:p>
    <w:p w14:paraId="15F4AC29" w14:textId="77777777" w:rsidR="00DD2249" w:rsidRPr="005B724A" w:rsidRDefault="00DD2249" w:rsidP="00DD2249"/>
    <w:p w14:paraId="65BCCD02" w14:textId="2BE0BC72" w:rsidR="009F1900" w:rsidRDefault="009F1900" w:rsidP="009F1900">
      <w:r w:rsidRPr="005B724A">
        <w:t>Over the past 15 years, high levels of demand and constraints on land availability have driven above-average growth in house prices</w:t>
      </w:r>
      <w:r>
        <w:t xml:space="preserve"> in Lewisham and in London as a whole</w:t>
      </w:r>
      <w:r w:rsidRPr="005B724A">
        <w:t xml:space="preserve">. </w:t>
      </w:r>
      <w:r>
        <w:t xml:space="preserve"> </w:t>
      </w:r>
      <w:r w:rsidRPr="005B724A">
        <w:t>The opportunity to buy a property is inc</w:t>
      </w:r>
      <w:r>
        <w:t>reasingly out of reach of many and t</w:t>
      </w:r>
      <w:r w:rsidRPr="005B724A">
        <w:t xml:space="preserve">he private rented sector </w:t>
      </w:r>
      <w:r>
        <w:t>has grown with high competition for properties.</w:t>
      </w:r>
      <w:r w:rsidRPr="005B724A">
        <w:t xml:space="preserve"> </w:t>
      </w:r>
      <w:r>
        <w:t xml:space="preserve"> </w:t>
      </w:r>
      <w:r w:rsidRPr="005B724A">
        <w:t xml:space="preserve">With population figures </w:t>
      </w:r>
      <w:r>
        <w:lastRenderedPageBreak/>
        <w:t xml:space="preserve">forecast to continue to rise </w:t>
      </w:r>
      <w:r w:rsidRPr="005B724A">
        <w:t xml:space="preserve">access to genuinely affordable and high quality housing is one of the most significant issues facing the borough. </w:t>
      </w:r>
      <w:r>
        <w:t xml:space="preserve"> </w:t>
      </w:r>
    </w:p>
    <w:p w14:paraId="1AC727FB" w14:textId="77777777" w:rsidR="009F1900" w:rsidRDefault="009F1900" w:rsidP="009F1900"/>
    <w:p w14:paraId="5EC9CD81" w14:textId="2F9D63BB" w:rsidR="009F1900" w:rsidRPr="005B724A" w:rsidRDefault="009F1900" w:rsidP="009F1900">
      <w:r>
        <w:t xml:space="preserve">The Council is currently developing a new </w:t>
      </w:r>
      <w:r w:rsidRPr="0012094A">
        <w:rPr>
          <w:i/>
        </w:rPr>
        <w:t>Housing Strategy for 2015-2020</w:t>
      </w:r>
      <w:r>
        <w:t xml:space="preserve"> that identifies four priorities: </w:t>
      </w:r>
      <w:r w:rsidR="00016D85">
        <w:t>helping</w:t>
      </w:r>
      <w:r>
        <w:t xml:space="preserve"> residents at times of housing need; security and quality for private renters; improving our residents’ homes; building the homes our residents need. </w:t>
      </w:r>
      <w:r w:rsidR="00016D85">
        <w:t xml:space="preserve">The Council’s assets can play a role in this, creating opportunities to develop </w:t>
      </w:r>
      <w:r w:rsidR="00016D85" w:rsidRPr="005B724A">
        <w:t>new housing supply of all tenures</w:t>
      </w:r>
      <w:r w:rsidR="00016D85">
        <w:t xml:space="preserve">, </w:t>
      </w:r>
      <w:r w:rsidR="00016D85" w:rsidRPr="005B724A">
        <w:t>making land available for the construction of new homes</w:t>
      </w:r>
      <w:r w:rsidR="00016D85">
        <w:t xml:space="preserve"> and by using an understanding of the borough to improve the way service delivery connects with communities at a local level. </w:t>
      </w:r>
    </w:p>
    <w:p w14:paraId="7EDDB363" w14:textId="77777777" w:rsidR="009F1900" w:rsidRPr="005B724A" w:rsidRDefault="009F1900" w:rsidP="009F1900"/>
    <w:p w14:paraId="6CC57374" w14:textId="7EBCCC31" w:rsidR="00DD2249" w:rsidRPr="005B724A" w:rsidRDefault="00DD2249" w:rsidP="00DD2249">
      <w:r w:rsidRPr="005B724A">
        <w:t xml:space="preserve">Lewisham’s </w:t>
      </w:r>
      <w:r w:rsidRPr="005B724A">
        <w:rPr>
          <w:i/>
          <w:iCs/>
        </w:rPr>
        <w:t xml:space="preserve">Children &amp; Young People’s Plan </w:t>
      </w:r>
      <w:r w:rsidRPr="005B724A">
        <w:t>sets out the Council’s vision for improving outcomes for all children and young people, and reducing the achievement gap between our most disadvantaged pupils and their peers. The local authority has a duty to ensure the provision of sufficient places for pupils of statutory age and, within financial constraints, accommodation that is both suitable and in good condition.</w:t>
      </w:r>
    </w:p>
    <w:p w14:paraId="6DEB0DEB" w14:textId="77777777" w:rsidR="00DD2249" w:rsidRPr="005B724A" w:rsidRDefault="00DD2249" w:rsidP="00DD2249"/>
    <w:p w14:paraId="416B0FD4" w14:textId="1D396969" w:rsidR="00DD2249" w:rsidRDefault="00DD2249" w:rsidP="00DD2249">
      <w:r w:rsidRPr="005B724A">
        <w:t>Demand for Primary places in recent years has exceeded Lewisham’s supply of permanent places</w:t>
      </w:r>
      <w:r w:rsidR="0023638E">
        <w:t xml:space="preserve"> and </w:t>
      </w:r>
      <w:r w:rsidRPr="005B724A">
        <w:t xml:space="preserve">Lewisham needs the equivalent of four additional primary schools to meet demand for permanent places resulting from the borough’s continuing growth. The Council is developing proposals that look at expanding existing sites, and potentially new sites, to identify value for money options which meet the criteria of providing high quality places in areas of greatest need. </w:t>
      </w:r>
      <w:r w:rsidR="0023638E">
        <w:t xml:space="preserve"> The Council’s portfolio of assets may offer opportunities for creative ways of responding to this challenge.  Similarly the schools estate represents a large and geographically varied opportunity to meet demand for premises during non-school hours.  </w:t>
      </w:r>
    </w:p>
    <w:p w14:paraId="25C970C6" w14:textId="77777777" w:rsidR="0023638E" w:rsidRDefault="0023638E" w:rsidP="00DD2249"/>
    <w:p w14:paraId="3E8D9A3E" w14:textId="2D7E5F7B" w:rsidR="0023638E" w:rsidRDefault="0023638E" w:rsidP="00DD2249"/>
    <w:p w14:paraId="74EB9572" w14:textId="77777777" w:rsidR="0023638E" w:rsidRPr="005B724A" w:rsidRDefault="0023638E" w:rsidP="00DD2249"/>
    <w:p w14:paraId="1575D9EA" w14:textId="77777777" w:rsidR="0023638E" w:rsidRDefault="0023638E">
      <w:pPr>
        <w:spacing w:after="200" w:line="276" w:lineRule="auto"/>
        <w:rPr>
          <w:b/>
          <w:bCs/>
          <w:sz w:val="28"/>
          <w:szCs w:val="28"/>
          <w:highlight w:val="lightGray"/>
        </w:rPr>
      </w:pPr>
      <w:r>
        <w:rPr>
          <w:b/>
          <w:bCs/>
          <w:sz w:val="28"/>
          <w:szCs w:val="28"/>
          <w:highlight w:val="lightGray"/>
        </w:rPr>
        <w:br w:type="page"/>
      </w:r>
    </w:p>
    <w:p w14:paraId="62C3F911" w14:textId="45F9A683" w:rsidR="000A5E7A" w:rsidRPr="005B724A" w:rsidRDefault="004019B8" w:rsidP="000A5E7A">
      <w:pPr>
        <w:rPr>
          <w:b/>
          <w:bCs/>
        </w:rPr>
      </w:pPr>
      <w:r w:rsidRPr="005B724A">
        <w:rPr>
          <w:b/>
          <w:bCs/>
          <w:sz w:val="28"/>
          <w:szCs w:val="28"/>
          <w:highlight w:val="lightGray"/>
        </w:rPr>
        <w:lastRenderedPageBreak/>
        <w:t>2)</w:t>
      </w:r>
      <w:r w:rsidRPr="005B724A">
        <w:rPr>
          <w:b/>
          <w:bCs/>
          <w:sz w:val="28"/>
          <w:szCs w:val="28"/>
          <w:highlight w:val="lightGray"/>
        </w:rPr>
        <w:tab/>
        <w:t>REGISTER</w:t>
      </w:r>
      <w:r w:rsidR="001A3FCE" w:rsidRPr="005B724A">
        <w:rPr>
          <w:b/>
          <w:bCs/>
          <w:sz w:val="28"/>
          <w:szCs w:val="28"/>
          <w:highlight w:val="lightGray"/>
        </w:rPr>
        <w:t xml:space="preserve"> OF </w:t>
      </w:r>
      <w:r w:rsidR="0062710E" w:rsidRPr="005B724A">
        <w:rPr>
          <w:b/>
          <w:bCs/>
          <w:sz w:val="28"/>
          <w:szCs w:val="28"/>
          <w:highlight w:val="lightGray"/>
        </w:rPr>
        <w:t xml:space="preserve">PROPERTY </w:t>
      </w:r>
      <w:r w:rsidR="001A3FCE" w:rsidRPr="005B724A">
        <w:rPr>
          <w:b/>
          <w:bCs/>
          <w:sz w:val="28"/>
          <w:szCs w:val="28"/>
          <w:highlight w:val="lightGray"/>
        </w:rPr>
        <w:t>ASSETS</w:t>
      </w:r>
      <w:r w:rsidRPr="005B724A">
        <w:rPr>
          <w:b/>
          <w:bCs/>
          <w:highlight w:val="lightGray"/>
        </w:rPr>
        <w:t xml:space="preserve"> </w:t>
      </w:r>
    </w:p>
    <w:p w14:paraId="049F3220" w14:textId="77777777" w:rsidR="004019B8" w:rsidRPr="005B724A" w:rsidRDefault="004019B8" w:rsidP="004019B8">
      <w:pPr>
        <w:rPr>
          <w:bCs/>
        </w:rPr>
      </w:pPr>
    </w:p>
    <w:p w14:paraId="1336F8FD" w14:textId="54DFE355" w:rsidR="000A5E7A" w:rsidRPr="00CB5BC4" w:rsidRDefault="004019B8" w:rsidP="004019B8">
      <w:pPr>
        <w:rPr>
          <w:b/>
          <w:bCs/>
          <w:sz w:val="24"/>
          <w:szCs w:val="24"/>
        </w:rPr>
      </w:pPr>
      <w:r w:rsidRPr="00CB5BC4">
        <w:rPr>
          <w:b/>
          <w:bCs/>
          <w:sz w:val="24"/>
          <w:szCs w:val="24"/>
        </w:rPr>
        <w:t>2.1</w:t>
      </w:r>
      <w:r w:rsidRPr="00CB5BC4">
        <w:rPr>
          <w:b/>
          <w:bCs/>
          <w:sz w:val="24"/>
          <w:szCs w:val="24"/>
        </w:rPr>
        <w:tab/>
      </w:r>
      <w:r w:rsidR="000A5E7A" w:rsidRPr="00CB5BC4">
        <w:rPr>
          <w:b/>
          <w:bCs/>
          <w:sz w:val="24"/>
          <w:szCs w:val="24"/>
        </w:rPr>
        <w:t>S</w:t>
      </w:r>
      <w:r w:rsidR="001A3FCE" w:rsidRPr="00CB5BC4">
        <w:rPr>
          <w:b/>
          <w:bCs/>
          <w:sz w:val="24"/>
          <w:szCs w:val="24"/>
        </w:rPr>
        <w:t>ummary</w:t>
      </w:r>
    </w:p>
    <w:p w14:paraId="6A529791" w14:textId="77777777" w:rsidR="004019B8" w:rsidRPr="005B724A" w:rsidRDefault="004019B8" w:rsidP="004019B8">
      <w:pPr>
        <w:rPr>
          <w:bCs/>
        </w:rPr>
      </w:pPr>
    </w:p>
    <w:p w14:paraId="18BB3CAC" w14:textId="17B57B96" w:rsidR="00A23BA3" w:rsidRPr="005B724A" w:rsidRDefault="00A23BA3" w:rsidP="00A23BA3">
      <w:pPr>
        <w:rPr>
          <w:bCs/>
        </w:rPr>
      </w:pPr>
      <w:r w:rsidRPr="005B724A">
        <w:rPr>
          <w:bCs/>
        </w:rPr>
        <w:t>Lewisham Council is a large land and asset owner with a core housing stock of approximately 20,800 and a non-housing stock of 76</w:t>
      </w:r>
      <w:r w:rsidR="00B53F27">
        <w:rPr>
          <w:bCs/>
        </w:rPr>
        <w:t>6</w:t>
      </w:r>
      <w:r w:rsidRPr="005B724A">
        <w:rPr>
          <w:bCs/>
        </w:rPr>
        <w:t xml:space="preserve"> assets. The housing stock </w:t>
      </w:r>
      <w:r w:rsidR="00655AAB">
        <w:rPr>
          <w:bCs/>
        </w:rPr>
        <w:t xml:space="preserve">is </w:t>
      </w:r>
      <w:r w:rsidRPr="005B724A">
        <w:rPr>
          <w:bCs/>
        </w:rPr>
        <w:t xml:space="preserve">properties used solely for residential purposes which are either </w:t>
      </w:r>
      <w:r w:rsidR="00655AAB">
        <w:rPr>
          <w:bCs/>
        </w:rPr>
        <w:t>tenanted or leasehold</w:t>
      </w:r>
      <w:r w:rsidRPr="005B724A">
        <w:rPr>
          <w:bCs/>
        </w:rPr>
        <w:t xml:space="preserve">. The housing stock excludes hostels. The non-housing stock </w:t>
      </w:r>
      <w:r w:rsidR="00655AAB">
        <w:rPr>
          <w:bCs/>
        </w:rPr>
        <w:t xml:space="preserve">includes </w:t>
      </w:r>
      <w:r w:rsidRPr="005B724A">
        <w:rPr>
          <w:bCs/>
        </w:rPr>
        <w:t>all other property assets of a non-residential type with the exception of hostels.</w:t>
      </w:r>
    </w:p>
    <w:p w14:paraId="0DE82B2C" w14:textId="77777777" w:rsidR="00A23BA3" w:rsidRPr="005B724A" w:rsidRDefault="00A23BA3" w:rsidP="00A23BA3">
      <w:pPr>
        <w:rPr>
          <w:bCs/>
        </w:rPr>
      </w:pPr>
    </w:p>
    <w:p w14:paraId="621342E3" w14:textId="11666011" w:rsidR="00A23BA3" w:rsidRPr="005B724A" w:rsidRDefault="00A23BA3" w:rsidP="00A23BA3">
      <w:pPr>
        <w:rPr>
          <w:bCs/>
        </w:rPr>
      </w:pPr>
      <w:r w:rsidRPr="005B724A">
        <w:rPr>
          <w:bCs/>
        </w:rPr>
        <w:t>The total value of the Council’s assets is estimated at £1.</w:t>
      </w:r>
      <w:r w:rsidR="00B53F27">
        <w:rPr>
          <w:bCs/>
        </w:rPr>
        <w:t>05</w:t>
      </w:r>
      <w:r w:rsidRPr="005B724A">
        <w:rPr>
          <w:bCs/>
        </w:rPr>
        <w:t>billion</w:t>
      </w:r>
      <w:r w:rsidR="00B53F27">
        <w:rPr>
          <w:rStyle w:val="FootnoteReference"/>
          <w:bCs/>
        </w:rPr>
        <w:footnoteReference w:id="2"/>
      </w:r>
      <w:r w:rsidRPr="005B724A">
        <w:rPr>
          <w:bCs/>
        </w:rPr>
        <w:t xml:space="preserve">. The current actual market value is however thought to be higher and London-wide market trends suggest significant scope to further increase the value </w:t>
      </w:r>
      <w:r w:rsidR="00655AAB">
        <w:rPr>
          <w:bCs/>
        </w:rPr>
        <w:t xml:space="preserve">of the asset portfolio. </w:t>
      </w:r>
    </w:p>
    <w:p w14:paraId="1ECCE6F1" w14:textId="77777777" w:rsidR="00A23BA3" w:rsidRPr="005B724A" w:rsidRDefault="00A23BA3" w:rsidP="00A23BA3">
      <w:pPr>
        <w:rPr>
          <w:bCs/>
        </w:rPr>
      </w:pPr>
    </w:p>
    <w:p w14:paraId="04633CCD" w14:textId="29401621" w:rsidR="00A23BA3" w:rsidRPr="005B724A" w:rsidRDefault="00A23BA3" w:rsidP="00A23BA3">
      <w:pPr>
        <w:rPr>
          <w:bCs/>
        </w:rPr>
      </w:pPr>
      <w:r w:rsidRPr="005B724A">
        <w:rPr>
          <w:bCs/>
        </w:rPr>
        <w:t>I</w:t>
      </w:r>
      <w:r w:rsidR="009F5118" w:rsidRPr="005B724A">
        <w:rPr>
          <w:bCs/>
        </w:rPr>
        <w:t>n 2014 Corporate Asset Services</w:t>
      </w:r>
      <w:r w:rsidRPr="005B724A">
        <w:rPr>
          <w:bCs/>
        </w:rPr>
        <w:t xml:space="preserve"> concluded work consolidating and cleansing data held corporately on assets</w:t>
      </w:r>
      <w:r w:rsidR="002D6D5D" w:rsidRPr="005B724A">
        <w:rPr>
          <w:bCs/>
        </w:rPr>
        <w:t>, and reported this to Mayor and Cabinet</w:t>
      </w:r>
      <w:r w:rsidRPr="005B724A">
        <w:rPr>
          <w:bCs/>
        </w:rPr>
        <w:t xml:space="preserve"> </w:t>
      </w:r>
      <w:r w:rsidR="002D6D5D" w:rsidRPr="005B724A">
        <w:rPr>
          <w:bCs/>
        </w:rPr>
        <w:t xml:space="preserve">in July 2014. </w:t>
      </w:r>
      <w:r w:rsidRPr="005B724A">
        <w:rPr>
          <w:bCs/>
        </w:rPr>
        <w:t>Until this point the Council ha</w:t>
      </w:r>
      <w:r w:rsidR="00655AAB">
        <w:rPr>
          <w:bCs/>
        </w:rPr>
        <w:t>d</w:t>
      </w:r>
      <w:r w:rsidRPr="005B724A">
        <w:rPr>
          <w:bCs/>
        </w:rPr>
        <w:t xml:space="preserve"> maintained a number of parallel systems holding information on the non-housing portfolio based on the way assets were used. The lack of a single comprehensive system led to a fragmented approach to managing asset information and created problems for consistency and accuracy. </w:t>
      </w:r>
    </w:p>
    <w:p w14:paraId="2B79A665" w14:textId="77777777" w:rsidR="002D6D5D" w:rsidRPr="005B724A" w:rsidRDefault="002D6D5D" w:rsidP="002D6D5D">
      <w:pPr>
        <w:rPr>
          <w:bCs/>
        </w:rPr>
      </w:pPr>
    </w:p>
    <w:p w14:paraId="6E2FD894" w14:textId="4B550F41" w:rsidR="002D6D5D" w:rsidRPr="005B724A" w:rsidRDefault="002D6D5D" w:rsidP="002D6D5D">
      <w:pPr>
        <w:rPr>
          <w:bCs/>
        </w:rPr>
      </w:pPr>
      <w:r w:rsidRPr="005B724A">
        <w:rPr>
          <w:bCs/>
        </w:rPr>
        <w:t xml:space="preserve">A single corporate asset register with robust systems for maintaining the integrity and currency of data is fundamental to the management of assets and the Council’s ability to take a strategic approach to planning and use. This needs to be central to </w:t>
      </w:r>
      <w:r w:rsidR="00655AAB">
        <w:rPr>
          <w:bCs/>
        </w:rPr>
        <w:t>Council</w:t>
      </w:r>
      <w:r w:rsidRPr="005B724A">
        <w:rPr>
          <w:bCs/>
        </w:rPr>
        <w:t xml:space="preserve"> service planning and to achieving compliance with statutory obligations, management of risk</w:t>
      </w:r>
      <w:r w:rsidR="00655AAB">
        <w:rPr>
          <w:bCs/>
        </w:rPr>
        <w:t xml:space="preserve">, and </w:t>
      </w:r>
      <w:r w:rsidRPr="005B724A">
        <w:rPr>
          <w:bCs/>
        </w:rPr>
        <w:t>deliver</w:t>
      </w:r>
      <w:r w:rsidR="00655AAB">
        <w:rPr>
          <w:bCs/>
        </w:rPr>
        <w:t>y of</w:t>
      </w:r>
      <w:r w:rsidRPr="005B724A">
        <w:rPr>
          <w:bCs/>
        </w:rPr>
        <w:t xml:space="preserve"> value for money and </w:t>
      </w:r>
      <w:r w:rsidR="00655AAB">
        <w:rPr>
          <w:bCs/>
        </w:rPr>
        <w:t>quality</w:t>
      </w:r>
      <w:r w:rsidRPr="005B724A">
        <w:rPr>
          <w:bCs/>
        </w:rPr>
        <w:t xml:space="preserve">. </w:t>
      </w:r>
    </w:p>
    <w:p w14:paraId="6E2024D7" w14:textId="77777777" w:rsidR="00A23BA3" w:rsidRDefault="00A23BA3" w:rsidP="00A23BA3">
      <w:pPr>
        <w:rPr>
          <w:bCs/>
        </w:rPr>
      </w:pPr>
    </w:p>
    <w:p w14:paraId="29AF2435" w14:textId="4750A493" w:rsidR="00E06354" w:rsidRPr="00E06354" w:rsidRDefault="00E06354" w:rsidP="00E06354">
      <w:pPr>
        <w:rPr>
          <w:bCs/>
        </w:rPr>
      </w:pPr>
      <w:r w:rsidRPr="00E06354">
        <w:rPr>
          <w:bCs/>
        </w:rPr>
        <w:t>‘Assets’ in the context of the Strategic Asset Management Plan is considered to include buildings and physical infrastructure.  This clarification is to avoid confusion in relation to assets within buildings, such as equipment</w:t>
      </w:r>
      <w:r w:rsidR="00E1348C">
        <w:rPr>
          <w:bCs/>
        </w:rPr>
        <w:t xml:space="preserve"> the management of which is prescribed within the Council’s facilities management contract for repairs and maintenance. </w:t>
      </w:r>
    </w:p>
    <w:p w14:paraId="168419E7" w14:textId="77777777" w:rsidR="00E06354" w:rsidRPr="005B724A" w:rsidRDefault="00E06354" w:rsidP="00A23BA3">
      <w:pPr>
        <w:rPr>
          <w:bCs/>
        </w:rPr>
      </w:pPr>
    </w:p>
    <w:p w14:paraId="1581A4D2" w14:textId="76154F24" w:rsidR="00A23BA3" w:rsidRPr="00CB5BC4" w:rsidRDefault="0062710E" w:rsidP="00A23BA3">
      <w:pPr>
        <w:rPr>
          <w:b/>
          <w:bCs/>
          <w:sz w:val="24"/>
          <w:szCs w:val="24"/>
        </w:rPr>
      </w:pPr>
      <w:r w:rsidRPr="00CB5BC4">
        <w:rPr>
          <w:b/>
          <w:bCs/>
          <w:sz w:val="24"/>
          <w:szCs w:val="24"/>
        </w:rPr>
        <w:t xml:space="preserve">2.2 </w:t>
      </w:r>
      <w:r w:rsidRPr="00CB5BC4">
        <w:rPr>
          <w:b/>
          <w:bCs/>
          <w:sz w:val="24"/>
          <w:szCs w:val="24"/>
        </w:rPr>
        <w:tab/>
      </w:r>
      <w:r w:rsidR="00A23BA3" w:rsidRPr="00CB5BC4">
        <w:rPr>
          <w:b/>
          <w:bCs/>
          <w:sz w:val="24"/>
          <w:szCs w:val="24"/>
        </w:rPr>
        <w:t>Housing</w:t>
      </w:r>
    </w:p>
    <w:p w14:paraId="299CCFF3" w14:textId="77777777" w:rsidR="00A23BA3" w:rsidRPr="005B724A" w:rsidRDefault="00A23BA3" w:rsidP="00A23BA3">
      <w:pPr>
        <w:rPr>
          <w:bCs/>
        </w:rPr>
      </w:pPr>
    </w:p>
    <w:p w14:paraId="17F9E558" w14:textId="77777777" w:rsidR="00A23BA3" w:rsidRPr="005B724A" w:rsidRDefault="00A23BA3" w:rsidP="00A23BA3">
      <w:pPr>
        <w:rPr>
          <w:bCs/>
        </w:rPr>
      </w:pPr>
      <w:r w:rsidRPr="005B724A">
        <w:rPr>
          <w:bCs/>
        </w:rPr>
        <w:t>As at November 2013, the Council had a housing stock of 20,835 made up of approximately 14,772 tenanted properties and 6,063 leasehold properties. A breakdown of the stock is provided below:</w:t>
      </w:r>
    </w:p>
    <w:p w14:paraId="35C4689E" w14:textId="77777777" w:rsidR="00A23BA3" w:rsidRPr="005B724A" w:rsidRDefault="00A23BA3" w:rsidP="00A23BA3">
      <w:pPr>
        <w:rPr>
          <w:bCs/>
        </w:rPr>
      </w:pPr>
    </w:p>
    <w:p w14:paraId="68E02381" w14:textId="77777777" w:rsidR="00A23BA3" w:rsidRPr="005B724A" w:rsidRDefault="00A23BA3" w:rsidP="00A23BA3">
      <w:pPr>
        <w:rPr>
          <w:bCs/>
        </w:rPr>
      </w:pPr>
      <w:r w:rsidRPr="00A86C94">
        <w:rPr>
          <w:bCs/>
        </w:rPr>
        <w:t xml:space="preserve">Table 1: </w:t>
      </w:r>
      <w:r w:rsidRPr="00A86C94">
        <w:rPr>
          <w:bCs/>
          <w:u w:val="single"/>
        </w:rPr>
        <w:t>LBL Core Housing Portfolio – November 2013</w:t>
      </w:r>
    </w:p>
    <w:tbl>
      <w:tblPr>
        <w:tblpPr w:leftFromText="180" w:rightFromText="180" w:vertAnchor="text" w:horzAnchor="page" w:tblpX="2650" w:tblpY="146"/>
        <w:tblW w:w="7308" w:type="dxa"/>
        <w:tblLook w:val="0000" w:firstRow="0" w:lastRow="0" w:firstColumn="0" w:lastColumn="0" w:noHBand="0" w:noVBand="0"/>
      </w:tblPr>
      <w:tblGrid>
        <w:gridCol w:w="2028"/>
        <w:gridCol w:w="2532"/>
        <w:gridCol w:w="2748"/>
      </w:tblGrid>
      <w:tr w:rsidR="00A23BA3" w:rsidRPr="005B724A" w14:paraId="130DB6AE" w14:textId="77777777" w:rsidTr="00D745E7">
        <w:trPr>
          <w:trHeight w:val="236"/>
        </w:trPr>
        <w:tc>
          <w:tcPr>
            <w:tcW w:w="2028" w:type="dxa"/>
            <w:tcBorders>
              <w:top w:val="single" w:sz="4" w:space="0" w:color="auto"/>
              <w:left w:val="single" w:sz="4" w:space="0" w:color="auto"/>
              <w:bottom w:val="single" w:sz="4" w:space="0" w:color="auto"/>
              <w:right w:val="single" w:sz="4" w:space="0" w:color="auto"/>
            </w:tcBorders>
            <w:shd w:val="clear" w:color="auto" w:fill="C0C0C0"/>
          </w:tcPr>
          <w:p w14:paraId="79BEF117" w14:textId="77777777" w:rsidR="00A23BA3" w:rsidRPr="005B724A" w:rsidRDefault="00A23BA3" w:rsidP="00A23BA3">
            <w:pPr>
              <w:rPr>
                <w:b/>
                <w:bCs/>
              </w:rPr>
            </w:pPr>
            <w:r w:rsidRPr="005B724A">
              <w:rPr>
                <w:b/>
                <w:bCs/>
              </w:rPr>
              <w:t>Provider</w:t>
            </w:r>
          </w:p>
        </w:tc>
        <w:tc>
          <w:tcPr>
            <w:tcW w:w="2532" w:type="dxa"/>
            <w:tcBorders>
              <w:top w:val="single" w:sz="4" w:space="0" w:color="auto"/>
              <w:left w:val="nil"/>
              <w:bottom w:val="single" w:sz="4" w:space="0" w:color="auto"/>
              <w:right w:val="single" w:sz="4" w:space="0" w:color="auto"/>
            </w:tcBorders>
            <w:shd w:val="clear" w:color="auto" w:fill="C0C0C0"/>
          </w:tcPr>
          <w:p w14:paraId="2D33E868" w14:textId="77777777" w:rsidR="00A23BA3" w:rsidRPr="005B724A" w:rsidRDefault="00A23BA3" w:rsidP="00A23BA3">
            <w:pPr>
              <w:rPr>
                <w:b/>
                <w:bCs/>
              </w:rPr>
            </w:pPr>
            <w:r w:rsidRPr="005B724A">
              <w:rPr>
                <w:b/>
                <w:bCs/>
              </w:rPr>
              <w:t>Tenanted Properties</w:t>
            </w:r>
          </w:p>
        </w:tc>
        <w:tc>
          <w:tcPr>
            <w:tcW w:w="2748" w:type="dxa"/>
            <w:tcBorders>
              <w:top w:val="single" w:sz="4" w:space="0" w:color="auto"/>
              <w:left w:val="nil"/>
              <w:bottom w:val="single" w:sz="4" w:space="0" w:color="auto"/>
              <w:right w:val="single" w:sz="4" w:space="0" w:color="auto"/>
            </w:tcBorders>
            <w:shd w:val="clear" w:color="auto" w:fill="C0C0C0"/>
          </w:tcPr>
          <w:p w14:paraId="3B67AABC" w14:textId="77777777" w:rsidR="00A23BA3" w:rsidRPr="005B724A" w:rsidRDefault="00A23BA3" w:rsidP="00A23BA3">
            <w:pPr>
              <w:rPr>
                <w:b/>
                <w:bCs/>
              </w:rPr>
            </w:pPr>
            <w:r w:rsidRPr="005B724A">
              <w:rPr>
                <w:b/>
                <w:bCs/>
              </w:rPr>
              <w:t>Leasehold properties</w:t>
            </w:r>
          </w:p>
        </w:tc>
      </w:tr>
      <w:tr w:rsidR="00A23BA3" w:rsidRPr="005B724A" w14:paraId="0F96C34D" w14:textId="77777777" w:rsidTr="00D745E7">
        <w:trPr>
          <w:trHeight w:val="315"/>
        </w:trPr>
        <w:tc>
          <w:tcPr>
            <w:tcW w:w="2028" w:type="dxa"/>
            <w:tcBorders>
              <w:top w:val="nil"/>
              <w:left w:val="single" w:sz="4" w:space="0" w:color="auto"/>
              <w:bottom w:val="single" w:sz="4" w:space="0" w:color="auto"/>
              <w:right w:val="single" w:sz="4" w:space="0" w:color="auto"/>
            </w:tcBorders>
            <w:shd w:val="clear" w:color="auto" w:fill="auto"/>
          </w:tcPr>
          <w:p w14:paraId="1025F686" w14:textId="77777777" w:rsidR="00A23BA3" w:rsidRPr="005B724A" w:rsidRDefault="00A23BA3" w:rsidP="00A23BA3">
            <w:pPr>
              <w:rPr>
                <w:bCs/>
              </w:rPr>
            </w:pPr>
            <w:r w:rsidRPr="005B724A">
              <w:rPr>
                <w:bCs/>
              </w:rPr>
              <w:t>Lewisham Homes</w:t>
            </w:r>
          </w:p>
        </w:tc>
        <w:tc>
          <w:tcPr>
            <w:tcW w:w="2532" w:type="dxa"/>
            <w:tcBorders>
              <w:top w:val="nil"/>
              <w:left w:val="nil"/>
              <w:bottom w:val="single" w:sz="4" w:space="0" w:color="auto"/>
              <w:right w:val="single" w:sz="4" w:space="0" w:color="auto"/>
            </w:tcBorders>
            <w:shd w:val="clear" w:color="auto" w:fill="auto"/>
          </w:tcPr>
          <w:p w14:paraId="1B6F26D5" w14:textId="74B391E8" w:rsidR="00A23BA3" w:rsidRPr="005B724A" w:rsidRDefault="00A23BA3" w:rsidP="0023638E">
            <w:pPr>
              <w:jc w:val="right"/>
              <w:rPr>
                <w:bCs/>
              </w:rPr>
            </w:pPr>
            <w:r w:rsidRPr="005B724A">
              <w:rPr>
                <w:bCs/>
              </w:rPr>
              <w:t>13</w:t>
            </w:r>
            <w:r w:rsidR="0023638E">
              <w:rPr>
                <w:bCs/>
              </w:rPr>
              <w:t>,</w:t>
            </w:r>
            <w:r w:rsidRPr="005B724A">
              <w:rPr>
                <w:bCs/>
              </w:rPr>
              <w:t>079</w:t>
            </w:r>
          </w:p>
        </w:tc>
        <w:tc>
          <w:tcPr>
            <w:tcW w:w="2748" w:type="dxa"/>
            <w:tcBorders>
              <w:top w:val="nil"/>
              <w:left w:val="nil"/>
              <w:bottom w:val="single" w:sz="4" w:space="0" w:color="auto"/>
              <w:right w:val="single" w:sz="4" w:space="0" w:color="auto"/>
            </w:tcBorders>
            <w:shd w:val="clear" w:color="auto" w:fill="auto"/>
          </w:tcPr>
          <w:p w14:paraId="12317D0B" w14:textId="18076088" w:rsidR="00A23BA3" w:rsidRPr="005B724A" w:rsidRDefault="00A23BA3" w:rsidP="0023638E">
            <w:pPr>
              <w:jc w:val="right"/>
              <w:rPr>
                <w:bCs/>
              </w:rPr>
            </w:pPr>
            <w:r w:rsidRPr="005B724A">
              <w:rPr>
                <w:bCs/>
              </w:rPr>
              <w:t>5</w:t>
            </w:r>
            <w:r w:rsidR="0023638E">
              <w:rPr>
                <w:bCs/>
              </w:rPr>
              <w:t>,</w:t>
            </w:r>
            <w:r w:rsidRPr="005B724A">
              <w:rPr>
                <w:bCs/>
              </w:rPr>
              <w:t>376</w:t>
            </w:r>
          </w:p>
        </w:tc>
      </w:tr>
      <w:tr w:rsidR="00A23BA3" w:rsidRPr="005B724A" w14:paraId="2F31038B" w14:textId="77777777" w:rsidTr="00D745E7">
        <w:trPr>
          <w:trHeight w:val="315"/>
        </w:trPr>
        <w:tc>
          <w:tcPr>
            <w:tcW w:w="2028" w:type="dxa"/>
            <w:tcBorders>
              <w:top w:val="nil"/>
              <w:left w:val="single" w:sz="4" w:space="0" w:color="auto"/>
              <w:bottom w:val="single" w:sz="4" w:space="0" w:color="auto"/>
              <w:right w:val="single" w:sz="4" w:space="0" w:color="auto"/>
            </w:tcBorders>
            <w:shd w:val="clear" w:color="auto" w:fill="auto"/>
          </w:tcPr>
          <w:p w14:paraId="25CF0C35" w14:textId="77777777" w:rsidR="00A23BA3" w:rsidRPr="005B724A" w:rsidRDefault="00A23BA3" w:rsidP="00A23BA3">
            <w:pPr>
              <w:rPr>
                <w:bCs/>
              </w:rPr>
            </w:pPr>
            <w:r w:rsidRPr="005B724A">
              <w:rPr>
                <w:bCs/>
              </w:rPr>
              <w:t>Brockley PFI</w:t>
            </w:r>
          </w:p>
        </w:tc>
        <w:tc>
          <w:tcPr>
            <w:tcW w:w="2532" w:type="dxa"/>
            <w:tcBorders>
              <w:top w:val="nil"/>
              <w:left w:val="nil"/>
              <w:bottom w:val="single" w:sz="4" w:space="0" w:color="auto"/>
              <w:right w:val="single" w:sz="4" w:space="0" w:color="auto"/>
            </w:tcBorders>
            <w:shd w:val="clear" w:color="auto" w:fill="auto"/>
          </w:tcPr>
          <w:p w14:paraId="13141FAE" w14:textId="3C8EA1DD" w:rsidR="00A23BA3" w:rsidRPr="005B724A" w:rsidRDefault="00A23BA3" w:rsidP="0023638E">
            <w:pPr>
              <w:jc w:val="right"/>
              <w:rPr>
                <w:bCs/>
              </w:rPr>
            </w:pPr>
            <w:r w:rsidRPr="005B724A">
              <w:rPr>
                <w:bCs/>
              </w:rPr>
              <w:t>1</w:t>
            </w:r>
            <w:r w:rsidR="0023638E">
              <w:rPr>
                <w:bCs/>
              </w:rPr>
              <w:t>,</w:t>
            </w:r>
            <w:r w:rsidRPr="005B724A">
              <w:rPr>
                <w:bCs/>
              </w:rPr>
              <w:t>328</w:t>
            </w:r>
          </w:p>
        </w:tc>
        <w:tc>
          <w:tcPr>
            <w:tcW w:w="2748" w:type="dxa"/>
            <w:tcBorders>
              <w:top w:val="nil"/>
              <w:left w:val="nil"/>
              <w:bottom w:val="single" w:sz="4" w:space="0" w:color="auto"/>
              <w:right w:val="single" w:sz="4" w:space="0" w:color="auto"/>
            </w:tcBorders>
            <w:shd w:val="clear" w:color="auto" w:fill="auto"/>
          </w:tcPr>
          <w:p w14:paraId="06100233" w14:textId="77777777" w:rsidR="00A23BA3" w:rsidRPr="005B724A" w:rsidRDefault="00A23BA3" w:rsidP="0023638E">
            <w:pPr>
              <w:jc w:val="right"/>
              <w:rPr>
                <w:bCs/>
              </w:rPr>
            </w:pPr>
            <w:r w:rsidRPr="005B724A">
              <w:rPr>
                <w:bCs/>
              </w:rPr>
              <w:t>540</w:t>
            </w:r>
          </w:p>
        </w:tc>
      </w:tr>
      <w:tr w:rsidR="00A23BA3" w:rsidRPr="005B724A" w14:paraId="3F000A60" w14:textId="77777777" w:rsidTr="00D745E7">
        <w:trPr>
          <w:trHeight w:val="315"/>
        </w:trPr>
        <w:tc>
          <w:tcPr>
            <w:tcW w:w="2028" w:type="dxa"/>
            <w:tcBorders>
              <w:top w:val="nil"/>
              <w:left w:val="single" w:sz="4" w:space="0" w:color="auto"/>
              <w:bottom w:val="single" w:sz="4" w:space="0" w:color="auto"/>
              <w:right w:val="single" w:sz="4" w:space="0" w:color="auto"/>
            </w:tcBorders>
            <w:shd w:val="clear" w:color="auto" w:fill="auto"/>
          </w:tcPr>
          <w:p w14:paraId="0661BB00" w14:textId="77777777" w:rsidR="00A23BA3" w:rsidRPr="005B724A" w:rsidRDefault="00A23BA3" w:rsidP="00A23BA3">
            <w:pPr>
              <w:rPr>
                <w:bCs/>
              </w:rPr>
            </w:pPr>
            <w:r w:rsidRPr="005B724A">
              <w:rPr>
                <w:bCs/>
              </w:rPr>
              <w:t>Ewart Road TMO</w:t>
            </w:r>
          </w:p>
        </w:tc>
        <w:tc>
          <w:tcPr>
            <w:tcW w:w="2532" w:type="dxa"/>
            <w:tcBorders>
              <w:top w:val="nil"/>
              <w:left w:val="nil"/>
              <w:bottom w:val="single" w:sz="4" w:space="0" w:color="auto"/>
              <w:right w:val="single" w:sz="4" w:space="0" w:color="auto"/>
            </w:tcBorders>
            <w:shd w:val="clear" w:color="auto" w:fill="auto"/>
          </w:tcPr>
          <w:p w14:paraId="6E4F97C2" w14:textId="77777777" w:rsidR="00A23BA3" w:rsidRPr="005B724A" w:rsidRDefault="00A23BA3" w:rsidP="0023638E">
            <w:pPr>
              <w:jc w:val="right"/>
              <w:rPr>
                <w:bCs/>
              </w:rPr>
            </w:pPr>
            <w:r w:rsidRPr="005B724A">
              <w:rPr>
                <w:bCs/>
              </w:rPr>
              <w:t>136</w:t>
            </w:r>
          </w:p>
        </w:tc>
        <w:tc>
          <w:tcPr>
            <w:tcW w:w="2748" w:type="dxa"/>
            <w:tcBorders>
              <w:top w:val="nil"/>
              <w:left w:val="nil"/>
              <w:bottom w:val="single" w:sz="4" w:space="0" w:color="auto"/>
              <w:right w:val="single" w:sz="4" w:space="0" w:color="auto"/>
            </w:tcBorders>
            <w:shd w:val="clear" w:color="auto" w:fill="auto"/>
          </w:tcPr>
          <w:p w14:paraId="7E7DE67B" w14:textId="77777777" w:rsidR="00A23BA3" w:rsidRPr="005B724A" w:rsidRDefault="00A23BA3" w:rsidP="0023638E">
            <w:pPr>
              <w:jc w:val="right"/>
              <w:rPr>
                <w:bCs/>
              </w:rPr>
            </w:pPr>
            <w:r w:rsidRPr="005B724A">
              <w:rPr>
                <w:bCs/>
              </w:rPr>
              <w:t>114</w:t>
            </w:r>
          </w:p>
        </w:tc>
      </w:tr>
      <w:tr w:rsidR="00A23BA3" w:rsidRPr="005B724A" w14:paraId="105A9777" w14:textId="77777777" w:rsidTr="00D745E7">
        <w:trPr>
          <w:trHeight w:val="315"/>
        </w:trPr>
        <w:tc>
          <w:tcPr>
            <w:tcW w:w="2028" w:type="dxa"/>
            <w:tcBorders>
              <w:top w:val="nil"/>
              <w:left w:val="single" w:sz="4" w:space="0" w:color="auto"/>
              <w:bottom w:val="single" w:sz="4" w:space="0" w:color="auto"/>
              <w:right w:val="single" w:sz="4" w:space="0" w:color="auto"/>
            </w:tcBorders>
            <w:shd w:val="clear" w:color="auto" w:fill="auto"/>
          </w:tcPr>
          <w:p w14:paraId="7F9ACAEE" w14:textId="77777777" w:rsidR="00A23BA3" w:rsidRPr="005B724A" w:rsidRDefault="00A23BA3" w:rsidP="00A23BA3">
            <w:pPr>
              <w:rPr>
                <w:bCs/>
              </w:rPr>
            </w:pPr>
            <w:r w:rsidRPr="005B724A">
              <w:rPr>
                <w:bCs/>
              </w:rPr>
              <w:t>Fiveways</w:t>
            </w:r>
          </w:p>
        </w:tc>
        <w:tc>
          <w:tcPr>
            <w:tcW w:w="2532" w:type="dxa"/>
            <w:tcBorders>
              <w:top w:val="nil"/>
              <w:left w:val="nil"/>
              <w:bottom w:val="single" w:sz="4" w:space="0" w:color="auto"/>
              <w:right w:val="single" w:sz="4" w:space="0" w:color="auto"/>
            </w:tcBorders>
            <w:shd w:val="clear" w:color="auto" w:fill="auto"/>
          </w:tcPr>
          <w:p w14:paraId="7068064B" w14:textId="77777777" w:rsidR="00A23BA3" w:rsidRPr="005B724A" w:rsidRDefault="00A23BA3" w:rsidP="0023638E">
            <w:pPr>
              <w:jc w:val="right"/>
              <w:rPr>
                <w:bCs/>
              </w:rPr>
            </w:pPr>
            <w:r w:rsidRPr="005B724A">
              <w:rPr>
                <w:bCs/>
              </w:rPr>
              <w:t>114</w:t>
            </w:r>
          </w:p>
        </w:tc>
        <w:tc>
          <w:tcPr>
            <w:tcW w:w="2748" w:type="dxa"/>
            <w:tcBorders>
              <w:top w:val="nil"/>
              <w:left w:val="nil"/>
              <w:bottom w:val="single" w:sz="4" w:space="0" w:color="auto"/>
              <w:right w:val="single" w:sz="4" w:space="0" w:color="auto"/>
            </w:tcBorders>
            <w:shd w:val="clear" w:color="auto" w:fill="auto"/>
          </w:tcPr>
          <w:p w14:paraId="61C65292" w14:textId="77777777" w:rsidR="00A23BA3" w:rsidRPr="005B724A" w:rsidRDefault="00A23BA3" w:rsidP="0023638E">
            <w:pPr>
              <w:jc w:val="right"/>
              <w:rPr>
                <w:bCs/>
              </w:rPr>
            </w:pPr>
            <w:r w:rsidRPr="005B724A">
              <w:rPr>
                <w:bCs/>
              </w:rPr>
              <w:t>33</w:t>
            </w:r>
          </w:p>
        </w:tc>
      </w:tr>
      <w:tr w:rsidR="00A23BA3" w:rsidRPr="005B724A" w14:paraId="7624D4C5" w14:textId="77777777" w:rsidTr="00D745E7">
        <w:trPr>
          <w:trHeight w:val="315"/>
        </w:trPr>
        <w:tc>
          <w:tcPr>
            <w:tcW w:w="2028" w:type="dxa"/>
            <w:tcBorders>
              <w:top w:val="nil"/>
              <w:left w:val="single" w:sz="4" w:space="0" w:color="auto"/>
              <w:bottom w:val="single" w:sz="4" w:space="0" w:color="auto"/>
              <w:right w:val="single" w:sz="4" w:space="0" w:color="auto"/>
            </w:tcBorders>
            <w:shd w:val="clear" w:color="auto" w:fill="auto"/>
          </w:tcPr>
          <w:p w14:paraId="7E715D55" w14:textId="77777777" w:rsidR="00A23BA3" w:rsidRPr="005B724A" w:rsidRDefault="00A23BA3" w:rsidP="00A23BA3">
            <w:pPr>
              <w:rPr>
                <w:bCs/>
              </w:rPr>
            </w:pPr>
            <w:r w:rsidRPr="005B724A">
              <w:rPr>
                <w:bCs/>
              </w:rPr>
              <w:t>Excalibur</w:t>
            </w:r>
          </w:p>
        </w:tc>
        <w:tc>
          <w:tcPr>
            <w:tcW w:w="2532" w:type="dxa"/>
            <w:tcBorders>
              <w:top w:val="nil"/>
              <w:left w:val="nil"/>
              <w:bottom w:val="single" w:sz="4" w:space="0" w:color="auto"/>
              <w:right w:val="single" w:sz="4" w:space="0" w:color="auto"/>
            </w:tcBorders>
            <w:shd w:val="clear" w:color="auto" w:fill="auto"/>
          </w:tcPr>
          <w:p w14:paraId="5E16936B" w14:textId="77777777" w:rsidR="00A23BA3" w:rsidRPr="005B724A" w:rsidRDefault="00A23BA3" w:rsidP="0023638E">
            <w:pPr>
              <w:jc w:val="right"/>
              <w:rPr>
                <w:bCs/>
              </w:rPr>
            </w:pPr>
            <w:r w:rsidRPr="005B724A">
              <w:rPr>
                <w:bCs/>
              </w:rPr>
              <w:t>115</w:t>
            </w:r>
          </w:p>
        </w:tc>
        <w:tc>
          <w:tcPr>
            <w:tcW w:w="2748" w:type="dxa"/>
            <w:tcBorders>
              <w:top w:val="nil"/>
              <w:left w:val="nil"/>
              <w:bottom w:val="single" w:sz="4" w:space="0" w:color="auto"/>
              <w:right w:val="single" w:sz="4" w:space="0" w:color="auto"/>
            </w:tcBorders>
            <w:shd w:val="clear" w:color="auto" w:fill="auto"/>
          </w:tcPr>
          <w:p w14:paraId="23224E5C" w14:textId="77777777" w:rsidR="00A23BA3" w:rsidRPr="005B724A" w:rsidRDefault="00A23BA3" w:rsidP="0023638E">
            <w:pPr>
              <w:jc w:val="right"/>
              <w:rPr>
                <w:bCs/>
              </w:rPr>
            </w:pPr>
            <w:r w:rsidRPr="005B724A">
              <w:rPr>
                <w:bCs/>
              </w:rPr>
              <w:t>0</w:t>
            </w:r>
          </w:p>
        </w:tc>
      </w:tr>
      <w:tr w:rsidR="00A23BA3" w:rsidRPr="005B724A" w14:paraId="58FD5875" w14:textId="77777777" w:rsidTr="00D745E7">
        <w:trPr>
          <w:trHeight w:val="315"/>
        </w:trPr>
        <w:tc>
          <w:tcPr>
            <w:tcW w:w="2028" w:type="dxa"/>
            <w:tcBorders>
              <w:top w:val="nil"/>
              <w:left w:val="single" w:sz="4" w:space="0" w:color="auto"/>
              <w:bottom w:val="single" w:sz="4" w:space="0" w:color="auto"/>
              <w:right w:val="single" w:sz="4" w:space="0" w:color="auto"/>
            </w:tcBorders>
            <w:shd w:val="clear" w:color="auto" w:fill="auto"/>
          </w:tcPr>
          <w:p w14:paraId="7E036FFD" w14:textId="77777777" w:rsidR="00A23BA3" w:rsidRPr="005B724A" w:rsidRDefault="00A23BA3" w:rsidP="00A23BA3">
            <w:pPr>
              <w:rPr>
                <w:b/>
                <w:bCs/>
              </w:rPr>
            </w:pPr>
            <w:r w:rsidRPr="005B724A">
              <w:rPr>
                <w:b/>
                <w:bCs/>
              </w:rPr>
              <w:t>Sub-Total</w:t>
            </w:r>
          </w:p>
        </w:tc>
        <w:tc>
          <w:tcPr>
            <w:tcW w:w="2532" w:type="dxa"/>
            <w:tcBorders>
              <w:top w:val="nil"/>
              <w:left w:val="nil"/>
              <w:bottom w:val="single" w:sz="4" w:space="0" w:color="auto"/>
              <w:right w:val="single" w:sz="4" w:space="0" w:color="auto"/>
            </w:tcBorders>
            <w:shd w:val="clear" w:color="auto" w:fill="auto"/>
          </w:tcPr>
          <w:p w14:paraId="64EC48CD" w14:textId="643C5AEC" w:rsidR="00A23BA3" w:rsidRPr="005B724A" w:rsidRDefault="00A23BA3" w:rsidP="0023638E">
            <w:pPr>
              <w:jc w:val="right"/>
              <w:rPr>
                <w:b/>
                <w:bCs/>
              </w:rPr>
            </w:pPr>
            <w:r w:rsidRPr="005B724A">
              <w:rPr>
                <w:b/>
                <w:bCs/>
              </w:rPr>
              <w:t>14</w:t>
            </w:r>
            <w:r w:rsidR="0023638E">
              <w:rPr>
                <w:b/>
                <w:bCs/>
              </w:rPr>
              <w:t>,</w:t>
            </w:r>
            <w:r w:rsidRPr="005B724A">
              <w:rPr>
                <w:b/>
                <w:bCs/>
              </w:rPr>
              <w:t>772</w:t>
            </w:r>
          </w:p>
        </w:tc>
        <w:tc>
          <w:tcPr>
            <w:tcW w:w="2748" w:type="dxa"/>
            <w:tcBorders>
              <w:top w:val="nil"/>
              <w:left w:val="nil"/>
              <w:bottom w:val="single" w:sz="4" w:space="0" w:color="auto"/>
              <w:right w:val="single" w:sz="4" w:space="0" w:color="auto"/>
            </w:tcBorders>
            <w:shd w:val="clear" w:color="auto" w:fill="auto"/>
          </w:tcPr>
          <w:p w14:paraId="57B1BF1B" w14:textId="37BBCF3A" w:rsidR="00A23BA3" w:rsidRPr="005B724A" w:rsidRDefault="00A23BA3" w:rsidP="0023638E">
            <w:pPr>
              <w:jc w:val="right"/>
              <w:rPr>
                <w:b/>
                <w:bCs/>
              </w:rPr>
            </w:pPr>
            <w:r w:rsidRPr="005B724A">
              <w:rPr>
                <w:b/>
                <w:bCs/>
              </w:rPr>
              <w:t>6</w:t>
            </w:r>
            <w:r w:rsidR="0023638E">
              <w:rPr>
                <w:b/>
                <w:bCs/>
              </w:rPr>
              <w:t>,</w:t>
            </w:r>
            <w:r w:rsidRPr="005B724A">
              <w:rPr>
                <w:b/>
                <w:bCs/>
              </w:rPr>
              <w:t>063</w:t>
            </w:r>
          </w:p>
        </w:tc>
      </w:tr>
      <w:tr w:rsidR="00A23BA3" w:rsidRPr="005B724A" w14:paraId="1DA8EB15" w14:textId="77777777" w:rsidTr="00D745E7">
        <w:trPr>
          <w:trHeight w:val="81"/>
        </w:trPr>
        <w:tc>
          <w:tcPr>
            <w:tcW w:w="2028" w:type="dxa"/>
            <w:tcBorders>
              <w:top w:val="nil"/>
              <w:left w:val="nil"/>
              <w:bottom w:val="nil"/>
              <w:right w:val="nil"/>
            </w:tcBorders>
            <w:shd w:val="clear" w:color="auto" w:fill="auto"/>
            <w:noWrap/>
            <w:vAlign w:val="bottom"/>
          </w:tcPr>
          <w:p w14:paraId="0A375EB1" w14:textId="77777777" w:rsidR="00A23BA3" w:rsidRPr="005B724A" w:rsidRDefault="00A23BA3" w:rsidP="00A23BA3">
            <w:pPr>
              <w:rPr>
                <w:bCs/>
              </w:rPr>
            </w:pPr>
          </w:p>
        </w:tc>
        <w:tc>
          <w:tcPr>
            <w:tcW w:w="2532" w:type="dxa"/>
            <w:tcBorders>
              <w:top w:val="nil"/>
              <w:left w:val="nil"/>
              <w:bottom w:val="nil"/>
              <w:right w:val="nil"/>
            </w:tcBorders>
            <w:shd w:val="clear" w:color="auto" w:fill="auto"/>
            <w:noWrap/>
            <w:vAlign w:val="bottom"/>
          </w:tcPr>
          <w:p w14:paraId="09386C25" w14:textId="77777777" w:rsidR="00A23BA3" w:rsidRPr="005B724A" w:rsidRDefault="00A23BA3" w:rsidP="00A23BA3">
            <w:pPr>
              <w:rPr>
                <w:bCs/>
              </w:rPr>
            </w:pPr>
          </w:p>
        </w:tc>
        <w:tc>
          <w:tcPr>
            <w:tcW w:w="2748" w:type="dxa"/>
            <w:tcBorders>
              <w:top w:val="nil"/>
              <w:left w:val="nil"/>
              <w:bottom w:val="nil"/>
              <w:right w:val="nil"/>
            </w:tcBorders>
            <w:shd w:val="clear" w:color="auto" w:fill="auto"/>
            <w:noWrap/>
            <w:vAlign w:val="bottom"/>
          </w:tcPr>
          <w:p w14:paraId="549971A0" w14:textId="77777777" w:rsidR="00A23BA3" w:rsidRPr="005B724A" w:rsidRDefault="00A23BA3" w:rsidP="00A23BA3">
            <w:pPr>
              <w:rPr>
                <w:bCs/>
              </w:rPr>
            </w:pPr>
          </w:p>
        </w:tc>
      </w:tr>
      <w:tr w:rsidR="00A23BA3" w:rsidRPr="005B724A" w14:paraId="170DE3CD" w14:textId="77777777" w:rsidTr="00D745E7">
        <w:trPr>
          <w:trHeight w:val="315"/>
        </w:trPr>
        <w:tc>
          <w:tcPr>
            <w:tcW w:w="202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44F43F1" w14:textId="0551686A" w:rsidR="00A23BA3" w:rsidRPr="005B724A" w:rsidRDefault="00A23BA3" w:rsidP="00A23BA3">
            <w:pPr>
              <w:rPr>
                <w:b/>
                <w:bCs/>
              </w:rPr>
            </w:pPr>
            <w:r w:rsidRPr="005B724A">
              <w:rPr>
                <w:b/>
                <w:bCs/>
              </w:rPr>
              <w:t xml:space="preserve"> Total</w:t>
            </w:r>
          </w:p>
        </w:tc>
        <w:tc>
          <w:tcPr>
            <w:tcW w:w="5280" w:type="dxa"/>
            <w:gridSpan w:val="2"/>
            <w:tcBorders>
              <w:top w:val="single" w:sz="4" w:space="0" w:color="auto"/>
              <w:left w:val="nil"/>
              <w:bottom w:val="single" w:sz="4" w:space="0" w:color="auto"/>
              <w:right w:val="single" w:sz="4" w:space="0" w:color="auto"/>
            </w:tcBorders>
            <w:shd w:val="clear" w:color="auto" w:fill="auto"/>
            <w:noWrap/>
            <w:vAlign w:val="bottom"/>
          </w:tcPr>
          <w:p w14:paraId="1FEE610D" w14:textId="6BFB9306" w:rsidR="00A23BA3" w:rsidRPr="005B724A" w:rsidRDefault="00A23BA3" w:rsidP="0023638E">
            <w:pPr>
              <w:jc w:val="center"/>
              <w:rPr>
                <w:b/>
                <w:bCs/>
              </w:rPr>
            </w:pPr>
            <w:r w:rsidRPr="005B724A">
              <w:rPr>
                <w:b/>
                <w:bCs/>
              </w:rPr>
              <w:t>20</w:t>
            </w:r>
            <w:r w:rsidR="0023638E">
              <w:rPr>
                <w:b/>
                <w:bCs/>
              </w:rPr>
              <w:t>,</w:t>
            </w:r>
            <w:r w:rsidRPr="005B724A">
              <w:rPr>
                <w:b/>
                <w:bCs/>
              </w:rPr>
              <w:t>835</w:t>
            </w:r>
          </w:p>
        </w:tc>
      </w:tr>
    </w:tbl>
    <w:p w14:paraId="0AE8EC2B" w14:textId="77777777" w:rsidR="00A23BA3" w:rsidRPr="005B724A" w:rsidRDefault="00A23BA3" w:rsidP="00A23BA3">
      <w:pPr>
        <w:rPr>
          <w:bCs/>
        </w:rPr>
      </w:pPr>
    </w:p>
    <w:p w14:paraId="24B8E60B" w14:textId="77777777" w:rsidR="00A23BA3" w:rsidRPr="005B724A" w:rsidRDefault="00A23BA3" w:rsidP="00A23BA3">
      <w:pPr>
        <w:rPr>
          <w:bCs/>
        </w:rPr>
      </w:pPr>
      <w:r w:rsidRPr="005B724A">
        <w:rPr>
          <w:bCs/>
        </w:rPr>
        <w:t xml:space="preserve"> </w:t>
      </w:r>
    </w:p>
    <w:p w14:paraId="645E0537" w14:textId="77777777" w:rsidR="00A23BA3" w:rsidRPr="005B724A" w:rsidRDefault="00A23BA3" w:rsidP="00A23BA3">
      <w:pPr>
        <w:rPr>
          <w:bCs/>
        </w:rPr>
      </w:pPr>
    </w:p>
    <w:p w14:paraId="05FB0B4A" w14:textId="77777777" w:rsidR="00A23BA3" w:rsidRPr="005B724A" w:rsidRDefault="00A23BA3" w:rsidP="00A23BA3">
      <w:pPr>
        <w:rPr>
          <w:bCs/>
        </w:rPr>
      </w:pPr>
    </w:p>
    <w:p w14:paraId="0AECD679" w14:textId="77777777" w:rsidR="00A23BA3" w:rsidRPr="005B724A" w:rsidRDefault="00A23BA3" w:rsidP="00A23BA3">
      <w:pPr>
        <w:rPr>
          <w:bCs/>
        </w:rPr>
      </w:pPr>
    </w:p>
    <w:p w14:paraId="3AECA976" w14:textId="77777777" w:rsidR="00A23BA3" w:rsidRPr="005B724A" w:rsidRDefault="00A23BA3" w:rsidP="00A23BA3">
      <w:pPr>
        <w:rPr>
          <w:bCs/>
        </w:rPr>
      </w:pPr>
    </w:p>
    <w:p w14:paraId="242DF4FA" w14:textId="7BC6A1CB" w:rsidR="00A23BA3" w:rsidRPr="005B724A" w:rsidRDefault="00A23BA3" w:rsidP="00A23BA3">
      <w:pPr>
        <w:rPr>
          <w:bCs/>
        </w:rPr>
      </w:pPr>
    </w:p>
    <w:p w14:paraId="121BDDE2" w14:textId="77777777" w:rsidR="00A23BA3" w:rsidRPr="005B724A" w:rsidRDefault="00A23BA3" w:rsidP="00A23BA3">
      <w:pPr>
        <w:rPr>
          <w:bCs/>
        </w:rPr>
      </w:pPr>
    </w:p>
    <w:p w14:paraId="2A0B8728" w14:textId="77777777" w:rsidR="00A23BA3" w:rsidRPr="005B724A" w:rsidRDefault="00A23BA3" w:rsidP="004019B8">
      <w:pPr>
        <w:rPr>
          <w:bCs/>
        </w:rPr>
      </w:pPr>
    </w:p>
    <w:p w14:paraId="350DEBDD" w14:textId="77777777" w:rsidR="00132398" w:rsidRPr="005B724A" w:rsidRDefault="00132398" w:rsidP="004019B8">
      <w:pPr>
        <w:rPr>
          <w:bCs/>
        </w:rPr>
      </w:pPr>
    </w:p>
    <w:p w14:paraId="4AEE50A9" w14:textId="1215943A" w:rsidR="00A23BA3" w:rsidRPr="005B724A" w:rsidRDefault="00A23BA3" w:rsidP="004019B8">
      <w:pPr>
        <w:rPr>
          <w:b/>
          <w:bCs/>
        </w:rPr>
      </w:pPr>
    </w:p>
    <w:p w14:paraId="3251841B" w14:textId="77777777" w:rsidR="00A23BA3" w:rsidRPr="005B724A" w:rsidRDefault="00A23BA3" w:rsidP="00A23BA3">
      <w:pPr>
        <w:rPr>
          <w:b/>
          <w:bCs/>
        </w:rPr>
      </w:pPr>
    </w:p>
    <w:p w14:paraId="60E43030" w14:textId="7C45BE98" w:rsidR="00A23BA3" w:rsidRPr="005B724A" w:rsidRDefault="00A23BA3" w:rsidP="00A23BA3">
      <w:pPr>
        <w:rPr>
          <w:bCs/>
          <w:sz w:val="18"/>
          <w:szCs w:val="18"/>
        </w:rPr>
      </w:pPr>
      <w:r w:rsidRPr="005B724A">
        <w:rPr>
          <w:bCs/>
          <w:sz w:val="18"/>
          <w:szCs w:val="18"/>
        </w:rPr>
        <w:t>LBL Housing Portfolio - Nov 2013</w:t>
      </w:r>
    </w:p>
    <w:p w14:paraId="64AD63A4" w14:textId="77777777" w:rsidR="00A23BA3" w:rsidRPr="005B724A" w:rsidRDefault="00A23BA3" w:rsidP="004019B8">
      <w:pPr>
        <w:rPr>
          <w:b/>
          <w:bCs/>
        </w:rPr>
      </w:pPr>
    </w:p>
    <w:p w14:paraId="48A27F42" w14:textId="77777777" w:rsidR="00A23BA3" w:rsidRPr="005B724A" w:rsidRDefault="00A23BA3" w:rsidP="00A23BA3">
      <w:pPr>
        <w:rPr>
          <w:bCs/>
        </w:rPr>
      </w:pPr>
      <w:r w:rsidRPr="005B724A">
        <w:rPr>
          <w:bCs/>
        </w:rPr>
        <w:t>The management organisations listed in table 1 above each maintain a register of the Council’s assets they manage and the data held is routinely updated and monitored through the relevant management and service level agreement. These assets are accounted for through the Housing Revenue Accounts (HRA).</w:t>
      </w:r>
    </w:p>
    <w:p w14:paraId="35C852AA" w14:textId="77777777" w:rsidR="00A23BA3" w:rsidRPr="005B724A" w:rsidRDefault="00A23BA3" w:rsidP="004019B8">
      <w:pPr>
        <w:rPr>
          <w:b/>
          <w:bCs/>
        </w:rPr>
      </w:pPr>
    </w:p>
    <w:p w14:paraId="13D1FDC4" w14:textId="77777777" w:rsidR="0012094A" w:rsidRDefault="0012094A" w:rsidP="004019B8">
      <w:pPr>
        <w:rPr>
          <w:b/>
          <w:bCs/>
          <w:sz w:val="24"/>
          <w:szCs w:val="24"/>
        </w:rPr>
      </w:pPr>
    </w:p>
    <w:p w14:paraId="2E202A26" w14:textId="36C8FA98" w:rsidR="00A23BA3" w:rsidRPr="00CB5BC4" w:rsidRDefault="0062710E" w:rsidP="004019B8">
      <w:pPr>
        <w:rPr>
          <w:b/>
          <w:bCs/>
          <w:sz w:val="24"/>
          <w:szCs w:val="24"/>
        </w:rPr>
      </w:pPr>
      <w:r w:rsidRPr="00CB5BC4">
        <w:rPr>
          <w:b/>
          <w:bCs/>
          <w:sz w:val="24"/>
          <w:szCs w:val="24"/>
        </w:rPr>
        <w:t>2.3</w:t>
      </w:r>
      <w:r w:rsidRPr="00CB5BC4">
        <w:rPr>
          <w:b/>
          <w:bCs/>
          <w:sz w:val="24"/>
          <w:szCs w:val="24"/>
        </w:rPr>
        <w:tab/>
      </w:r>
      <w:r w:rsidR="00A23BA3" w:rsidRPr="00CB5BC4">
        <w:rPr>
          <w:b/>
          <w:bCs/>
          <w:sz w:val="24"/>
          <w:szCs w:val="24"/>
        </w:rPr>
        <w:t xml:space="preserve">Non-housing property </w:t>
      </w:r>
    </w:p>
    <w:p w14:paraId="5869645F" w14:textId="77777777" w:rsidR="00A23BA3" w:rsidRPr="005B724A" w:rsidRDefault="00A23BA3" w:rsidP="004019B8">
      <w:pPr>
        <w:rPr>
          <w:bCs/>
        </w:rPr>
      </w:pPr>
    </w:p>
    <w:p w14:paraId="001200C4" w14:textId="6E749089" w:rsidR="002D6D5D" w:rsidRPr="005B724A" w:rsidRDefault="002D6D5D" w:rsidP="002D6D5D">
      <w:pPr>
        <w:rPr>
          <w:bCs/>
        </w:rPr>
      </w:pPr>
      <w:r w:rsidRPr="005B724A">
        <w:rPr>
          <w:bCs/>
        </w:rPr>
        <w:t xml:space="preserve">The Council currently has a non-housing asset portfolio base of </w:t>
      </w:r>
      <w:r w:rsidRPr="005B724A">
        <w:rPr>
          <w:b/>
          <w:bCs/>
        </w:rPr>
        <w:t>76</w:t>
      </w:r>
      <w:r w:rsidR="00F37062">
        <w:rPr>
          <w:b/>
          <w:bCs/>
        </w:rPr>
        <w:t>6</w:t>
      </w:r>
      <w:r w:rsidRPr="005B724A">
        <w:rPr>
          <w:bCs/>
        </w:rPr>
        <w:t xml:space="preserve">. These can be grouped into four tenure types: </w:t>
      </w:r>
    </w:p>
    <w:p w14:paraId="2F49489C" w14:textId="1A303A6B" w:rsidR="002D6D5D" w:rsidRPr="005B724A" w:rsidRDefault="002D6D5D" w:rsidP="00C1048E">
      <w:pPr>
        <w:pStyle w:val="ListParagraph"/>
        <w:numPr>
          <w:ilvl w:val="0"/>
          <w:numId w:val="8"/>
        </w:numPr>
        <w:ind w:left="360"/>
        <w:rPr>
          <w:bCs/>
        </w:rPr>
      </w:pPr>
      <w:r w:rsidRPr="005B724A">
        <w:rPr>
          <w:bCs/>
        </w:rPr>
        <w:t xml:space="preserve">Freehold Assets - assets wholly owned by the Council, that is, where the Council is the landlord. These number </w:t>
      </w:r>
      <w:r w:rsidRPr="005B724A">
        <w:rPr>
          <w:b/>
          <w:bCs/>
        </w:rPr>
        <w:t>720</w:t>
      </w:r>
      <w:r w:rsidRPr="005B724A">
        <w:rPr>
          <w:bCs/>
        </w:rPr>
        <w:t xml:space="preserve"> and represent </w:t>
      </w:r>
      <w:r w:rsidRPr="005B724A">
        <w:rPr>
          <w:b/>
          <w:bCs/>
        </w:rPr>
        <w:t>94</w:t>
      </w:r>
      <w:r w:rsidRPr="005B724A">
        <w:rPr>
          <w:bCs/>
        </w:rPr>
        <w:t xml:space="preserve">% of the non-housing stock. </w:t>
      </w:r>
    </w:p>
    <w:p w14:paraId="72236BF2" w14:textId="181C164C" w:rsidR="002D6D5D" w:rsidRPr="005B724A" w:rsidRDefault="002D6D5D" w:rsidP="00C1048E">
      <w:pPr>
        <w:pStyle w:val="ListParagraph"/>
        <w:numPr>
          <w:ilvl w:val="0"/>
          <w:numId w:val="8"/>
        </w:numPr>
        <w:ind w:left="360"/>
        <w:rPr>
          <w:bCs/>
        </w:rPr>
      </w:pPr>
      <w:r w:rsidRPr="005B724A">
        <w:rPr>
          <w:bCs/>
        </w:rPr>
        <w:t xml:space="preserve">Leasehold Assets – assets not owned by the Council, that is, where the Council is the tenant. These number </w:t>
      </w:r>
      <w:r w:rsidRPr="005B724A">
        <w:rPr>
          <w:b/>
          <w:bCs/>
        </w:rPr>
        <w:t>14</w:t>
      </w:r>
      <w:r w:rsidRPr="005B724A">
        <w:rPr>
          <w:bCs/>
        </w:rPr>
        <w:t xml:space="preserve"> and represent</w:t>
      </w:r>
      <w:r w:rsidRPr="005B724A">
        <w:rPr>
          <w:b/>
          <w:bCs/>
        </w:rPr>
        <w:t xml:space="preserve"> 2</w:t>
      </w:r>
      <w:r w:rsidRPr="005B724A">
        <w:rPr>
          <w:bCs/>
        </w:rPr>
        <w:t>% of the non-housing stock.</w:t>
      </w:r>
    </w:p>
    <w:p w14:paraId="63DD333A" w14:textId="1477616F" w:rsidR="002D6D5D" w:rsidRPr="005B724A" w:rsidRDefault="002D6D5D" w:rsidP="00C1048E">
      <w:pPr>
        <w:pStyle w:val="ListParagraph"/>
        <w:numPr>
          <w:ilvl w:val="0"/>
          <w:numId w:val="8"/>
        </w:numPr>
        <w:ind w:left="360"/>
        <w:rPr>
          <w:bCs/>
        </w:rPr>
      </w:pPr>
      <w:r w:rsidRPr="005B724A">
        <w:rPr>
          <w:bCs/>
        </w:rPr>
        <w:t>Agency or Management Responsibility – asset</w:t>
      </w:r>
      <w:r w:rsidR="00601F5D" w:rsidRPr="005B724A">
        <w:rPr>
          <w:bCs/>
        </w:rPr>
        <w:t>s</w:t>
      </w:r>
      <w:r w:rsidRPr="005B724A">
        <w:rPr>
          <w:bCs/>
        </w:rPr>
        <w:t xml:space="preserve"> </w:t>
      </w:r>
      <w:r w:rsidR="00601F5D" w:rsidRPr="005B724A">
        <w:rPr>
          <w:bCs/>
        </w:rPr>
        <w:t xml:space="preserve">where </w:t>
      </w:r>
      <w:r w:rsidRPr="005B724A">
        <w:rPr>
          <w:bCs/>
        </w:rPr>
        <w:t xml:space="preserve">the Council is neither the freeholder or lease holder but has management responsibility through for example an act of parliament or agreement. </w:t>
      </w:r>
      <w:bookmarkStart w:id="0" w:name="OLE_LINK1"/>
      <w:r w:rsidRPr="005B724A">
        <w:rPr>
          <w:bCs/>
        </w:rPr>
        <w:t xml:space="preserve">These number </w:t>
      </w:r>
      <w:r w:rsidRPr="005B724A">
        <w:rPr>
          <w:b/>
          <w:bCs/>
        </w:rPr>
        <w:t xml:space="preserve"> 8</w:t>
      </w:r>
      <w:r w:rsidRPr="005B724A">
        <w:rPr>
          <w:bCs/>
        </w:rPr>
        <w:t xml:space="preserve"> and represent </w:t>
      </w:r>
      <w:r w:rsidRPr="005B724A">
        <w:rPr>
          <w:b/>
          <w:bCs/>
        </w:rPr>
        <w:t>1</w:t>
      </w:r>
      <w:r w:rsidRPr="005B724A">
        <w:rPr>
          <w:bCs/>
        </w:rPr>
        <w:t>% of the non-housing stock.</w:t>
      </w:r>
    </w:p>
    <w:bookmarkEnd w:id="0"/>
    <w:p w14:paraId="6E114CEB" w14:textId="5C8681A7" w:rsidR="002D6D5D" w:rsidRPr="005B724A" w:rsidRDefault="002D6D5D" w:rsidP="00C1048E">
      <w:pPr>
        <w:pStyle w:val="ListParagraph"/>
        <w:numPr>
          <w:ilvl w:val="0"/>
          <w:numId w:val="8"/>
        </w:numPr>
        <w:ind w:left="360"/>
        <w:rPr>
          <w:bCs/>
        </w:rPr>
      </w:pPr>
      <w:r w:rsidRPr="005B724A">
        <w:rPr>
          <w:bCs/>
        </w:rPr>
        <w:t xml:space="preserve">Voluntary Aided (VA) Schools – These are state-funded schools in which a foundation or trust (usually a religious organisation), contributes to building costs and has a substantial influence in the running of the school. In most cases the foundation or </w:t>
      </w:r>
      <w:r w:rsidR="006718A6" w:rsidRPr="005B724A">
        <w:rPr>
          <w:bCs/>
        </w:rPr>
        <w:t>trust owns</w:t>
      </w:r>
      <w:r w:rsidRPr="005B724A">
        <w:rPr>
          <w:bCs/>
        </w:rPr>
        <w:t xml:space="preserve"> the buildings. These number  </w:t>
      </w:r>
      <w:r w:rsidRPr="005B724A">
        <w:rPr>
          <w:b/>
          <w:bCs/>
        </w:rPr>
        <w:t>25</w:t>
      </w:r>
      <w:r w:rsidRPr="005B724A">
        <w:rPr>
          <w:bCs/>
        </w:rPr>
        <w:t xml:space="preserve"> and represent </w:t>
      </w:r>
      <w:r w:rsidRPr="005B724A">
        <w:rPr>
          <w:b/>
          <w:bCs/>
        </w:rPr>
        <w:t>3</w:t>
      </w:r>
      <w:r w:rsidRPr="005B724A">
        <w:rPr>
          <w:bCs/>
        </w:rPr>
        <w:t>% of the non-housing stock.</w:t>
      </w:r>
    </w:p>
    <w:p w14:paraId="28C0CCC2" w14:textId="77777777" w:rsidR="002D6D5D" w:rsidRPr="005B724A" w:rsidRDefault="002D6D5D" w:rsidP="002D6D5D">
      <w:pPr>
        <w:rPr>
          <w:bCs/>
        </w:rPr>
      </w:pPr>
    </w:p>
    <w:p w14:paraId="077BEBD9" w14:textId="4953C8FF" w:rsidR="002D6D5D" w:rsidRPr="005B724A" w:rsidRDefault="002D6D5D" w:rsidP="002D6D5D">
      <w:pPr>
        <w:rPr>
          <w:bCs/>
        </w:rPr>
      </w:pPr>
      <w:r w:rsidRPr="005B724A">
        <w:rPr>
          <w:bCs/>
        </w:rPr>
        <w:t>The portfolio is currently grouped into 4 broad categories: operational (office and civic buildings, depots, community centres, adult day centres, youth cent</w:t>
      </w:r>
      <w:r w:rsidR="00B75F68" w:rsidRPr="005B724A">
        <w:rPr>
          <w:bCs/>
        </w:rPr>
        <w:t>re, children centres, libraries</w:t>
      </w:r>
      <w:r w:rsidRPr="005B724A">
        <w:rPr>
          <w:bCs/>
        </w:rPr>
        <w:t xml:space="preserve">); schools (LA schools, Voluntary aided schools, </w:t>
      </w:r>
      <w:r w:rsidR="0012094A">
        <w:rPr>
          <w:bCs/>
        </w:rPr>
        <w:t>others</w:t>
      </w:r>
      <w:r w:rsidRPr="005B724A">
        <w:rPr>
          <w:bCs/>
        </w:rPr>
        <w:t>); commercial (retail un</w:t>
      </w:r>
      <w:r w:rsidR="00B75F68" w:rsidRPr="005B724A">
        <w:rPr>
          <w:bCs/>
        </w:rPr>
        <w:t>its, light industrial units</w:t>
      </w:r>
      <w:r w:rsidRPr="005B724A">
        <w:rPr>
          <w:bCs/>
        </w:rPr>
        <w:t>); and  non-classified (leisure facilities, parks, car p</w:t>
      </w:r>
      <w:r w:rsidR="00B75F68" w:rsidRPr="005B724A">
        <w:rPr>
          <w:bCs/>
        </w:rPr>
        <w:t>arks, public monuments, land</w:t>
      </w:r>
      <w:r w:rsidRPr="005B724A">
        <w:rPr>
          <w:bCs/>
        </w:rPr>
        <w:t>).</w:t>
      </w:r>
    </w:p>
    <w:p w14:paraId="16F98883" w14:textId="77777777" w:rsidR="004F38F8" w:rsidRPr="005B724A" w:rsidRDefault="004F38F8" w:rsidP="004F38F8">
      <w:pPr>
        <w:rPr>
          <w:bCs/>
        </w:rPr>
      </w:pPr>
    </w:p>
    <w:p w14:paraId="38138E3E" w14:textId="7DF6D3EA" w:rsidR="002D6D5D" w:rsidRPr="005B724A" w:rsidRDefault="002D6D5D" w:rsidP="004F38F8">
      <w:pPr>
        <w:rPr>
          <w:bCs/>
        </w:rPr>
      </w:pPr>
      <w:r w:rsidRPr="005B724A">
        <w:rPr>
          <w:bCs/>
        </w:rPr>
        <w:t xml:space="preserve">The non-housing assets portfolio has been categorised in this way mainly to reflect their functional use and the way they are currently maintained and or accounted for. For example the operational estate is accounted for through the current Facilities Management contract; the commercial estate is categorised as such because of its income generation role. </w:t>
      </w:r>
    </w:p>
    <w:p w14:paraId="1EA5A2A6" w14:textId="77777777" w:rsidR="004F38F8" w:rsidRPr="005B724A" w:rsidRDefault="004F38F8" w:rsidP="004F38F8">
      <w:pPr>
        <w:rPr>
          <w:bCs/>
        </w:rPr>
      </w:pPr>
    </w:p>
    <w:p w14:paraId="6144B305" w14:textId="106922E5" w:rsidR="002D6D5D" w:rsidRPr="005B724A" w:rsidRDefault="002D6D5D" w:rsidP="004F38F8">
      <w:pPr>
        <w:rPr>
          <w:bCs/>
        </w:rPr>
      </w:pPr>
      <w:r w:rsidRPr="005B724A">
        <w:rPr>
          <w:bCs/>
        </w:rPr>
        <w:t xml:space="preserve">A breakdown of the assets by category is provided below together with a brief description of each asset category. </w:t>
      </w:r>
    </w:p>
    <w:p w14:paraId="275960AC" w14:textId="77777777" w:rsidR="00655AAB" w:rsidRDefault="00655AAB" w:rsidP="00655AAB">
      <w:pPr>
        <w:rPr>
          <w:bCs/>
        </w:rPr>
      </w:pPr>
    </w:p>
    <w:p w14:paraId="7161E13F" w14:textId="5FB12F1C" w:rsidR="00655AAB" w:rsidRPr="00655AAB" w:rsidRDefault="00655AAB" w:rsidP="00655AAB">
      <w:pPr>
        <w:rPr>
          <w:bCs/>
        </w:rPr>
      </w:pPr>
      <w:r w:rsidRPr="00655AAB">
        <w:rPr>
          <w:bCs/>
        </w:rPr>
        <w:t xml:space="preserve">Table </w:t>
      </w:r>
      <w:r>
        <w:rPr>
          <w:bCs/>
        </w:rPr>
        <w:t>2</w:t>
      </w:r>
      <w:r w:rsidRPr="00655AAB">
        <w:rPr>
          <w:bCs/>
        </w:rPr>
        <w:t xml:space="preserve">: </w:t>
      </w:r>
      <w:r w:rsidRPr="00655AAB">
        <w:rPr>
          <w:bCs/>
          <w:u w:val="single"/>
        </w:rPr>
        <w:t>Lewisham asset classifications –</w:t>
      </w:r>
      <w:r w:rsidR="00A86C94">
        <w:rPr>
          <w:bCs/>
          <w:u w:val="single"/>
        </w:rPr>
        <w:t>November 2014</w:t>
      </w:r>
    </w:p>
    <w:p w14:paraId="6205B7CD" w14:textId="77777777" w:rsidR="004F38F8" w:rsidRPr="005B724A" w:rsidRDefault="004F38F8" w:rsidP="004F38F8">
      <w:pPr>
        <w:rPr>
          <w:bCs/>
        </w:rPr>
      </w:pPr>
    </w:p>
    <w:tbl>
      <w:tblPr>
        <w:tblStyle w:val="TableGrid"/>
        <w:tblW w:w="0" w:type="auto"/>
        <w:tblInd w:w="4320" w:type="dxa"/>
        <w:tblLook w:val="01E0" w:firstRow="1" w:lastRow="1" w:firstColumn="1" w:lastColumn="1" w:noHBand="0" w:noVBand="0"/>
      </w:tblPr>
      <w:tblGrid>
        <w:gridCol w:w="3110"/>
        <w:gridCol w:w="1800"/>
      </w:tblGrid>
      <w:tr w:rsidR="002D6D5D" w:rsidRPr="005B724A" w14:paraId="218DD38C" w14:textId="77777777" w:rsidTr="00F706F3">
        <w:tc>
          <w:tcPr>
            <w:tcW w:w="3110" w:type="dxa"/>
            <w:shd w:val="clear" w:color="auto" w:fill="BFBFBF" w:themeFill="background1" w:themeFillShade="BF"/>
          </w:tcPr>
          <w:p w14:paraId="2394A022" w14:textId="77777777" w:rsidR="002D6D5D" w:rsidRPr="005B724A" w:rsidRDefault="002D6D5D" w:rsidP="002D6D5D">
            <w:pPr>
              <w:rPr>
                <w:b/>
                <w:bCs/>
              </w:rPr>
            </w:pPr>
            <w:r w:rsidRPr="005B724A">
              <w:rPr>
                <w:b/>
                <w:bCs/>
              </w:rPr>
              <w:t>Asset Category</w:t>
            </w:r>
          </w:p>
        </w:tc>
        <w:tc>
          <w:tcPr>
            <w:tcW w:w="1800" w:type="dxa"/>
            <w:shd w:val="clear" w:color="auto" w:fill="BFBFBF" w:themeFill="background1" w:themeFillShade="BF"/>
          </w:tcPr>
          <w:p w14:paraId="17CFFF9C" w14:textId="77777777" w:rsidR="002D6D5D" w:rsidRPr="005B724A" w:rsidRDefault="002D6D5D" w:rsidP="002D6D5D">
            <w:pPr>
              <w:rPr>
                <w:b/>
                <w:bCs/>
              </w:rPr>
            </w:pPr>
            <w:r w:rsidRPr="005B724A">
              <w:rPr>
                <w:b/>
                <w:bCs/>
              </w:rPr>
              <w:t>No of Assets</w:t>
            </w:r>
          </w:p>
        </w:tc>
      </w:tr>
      <w:tr w:rsidR="002D6D5D" w:rsidRPr="005B724A" w14:paraId="53543C31" w14:textId="77777777" w:rsidTr="00F15400">
        <w:tc>
          <w:tcPr>
            <w:tcW w:w="3110" w:type="dxa"/>
          </w:tcPr>
          <w:p w14:paraId="58F96D76" w14:textId="77777777" w:rsidR="002D6D5D" w:rsidRPr="005B724A" w:rsidRDefault="002D6D5D" w:rsidP="002D6D5D">
            <w:pPr>
              <w:rPr>
                <w:bCs/>
              </w:rPr>
            </w:pPr>
            <w:r w:rsidRPr="005B724A">
              <w:rPr>
                <w:bCs/>
              </w:rPr>
              <w:t>Operational Assets</w:t>
            </w:r>
          </w:p>
        </w:tc>
        <w:tc>
          <w:tcPr>
            <w:tcW w:w="1800" w:type="dxa"/>
          </w:tcPr>
          <w:p w14:paraId="73E92C45" w14:textId="77777777" w:rsidR="002D6D5D" w:rsidRPr="005B724A" w:rsidRDefault="002D6D5D" w:rsidP="00F15400">
            <w:pPr>
              <w:jc w:val="right"/>
              <w:rPr>
                <w:bCs/>
              </w:rPr>
            </w:pPr>
            <w:r w:rsidRPr="005B724A">
              <w:rPr>
                <w:bCs/>
              </w:rPr>
              <w:t>106</w:t>
            </w:r>
          </w:p>
        </w:tc>
      </w:tr>
      <w:tr w:rsidR="002D6D5D" w:rsidRPr="005B724A" w14:paraId="2C35AF63" w14:textId="77777777" w:rsidTr="00F15400">
        <w:tc>
          <w:tcPr>
            <w:tcW w:w="3110" w:type="dxa"/>
          </w:tcPr>
          <w:p w14:paraId="6195F7A5" w14:textId="77777777" w:rsidR="002D6D5D" w:rsidRPr="005B724A" w:rsidRDefault="002D6D5D" w:rsidP="002D6D5D">
            <w:pPr>
              <w:rPr>
                <w:bCs/>
              </w:rPr>
            </w:pPr>
            <w:r w:rsidRPr="005B724A">
              <w:rPr>
                <w:bCs/>
              </w:rPr>
              <w:t>Schools</w:t>
            </w:r>
          </w:p>
        </w:tc>
        <w:tc>
          <w:tcPr>
            <w:tcW w:w="1800" w:type="dxa"/>
          </w:tcPr>
          <w:p w14:paraId="514A5898" w14:textId="77777777" w:rsidR="002D6D5D" w:rsidRPr="005B724A" w:rsidRDefault="002D6D5D" w:rsidP="00F15400">
            <w:pPr>
              <w:jc w:val="right"/>
              <w:rPr>
                <w:bCs/>
              </w:rPr>
            </w:pPr>
            <w:r w:rsidRPr="005B724A">
              <w:rPr>
                <w:bCs/>
              </w:rPr>
              <w:t>88</w:t>
            </w:r>
          </w:p>
        </w:tc>
      </w:tr>
      <w:tr w:rsidR="002D6D5D" w:rsidRPr="005B724A" w14:paraId="44FF4D51" w14:textId="77777777" w:rsidTr="00F15400">
        <w:tc>
          <w:tcPr>
            <w:tcW w:w="3110" w:type="dxa"/>
          </w:tcPr>
          <w:p w14:paraId="22963F96" w14:textId="77777777" w:rsidR="002D6D5D" w:rsidRPr="005B724A" w:rsidRDefault="002D6D5D" w:rsidP="002D6D5D">
            <w:pPr>
              <w:rPr>
                <w:bCs/>
              </w:rPr>
            </w:pPr>
            <w:r w:rsidRPr="005B724A">
              <w:rPr>
                <w:bCs/>
              </w:rPr>
              <w:t>Commercial</w:t>
            </w:r>
          </w:p>
        </w:tc>
        <w:tc>
          <w:tcPr>
            <w:tcW w:w="1800" w:type="dxa"/>
          </w:tcPr>
          <w:p w14:paraId="79121011" w14:textId="2F5BC300" w:rsidR="002D6D5D" w:rsidRPr="005B724A" w:rsidRDefault="00EA5206" w:rsidP="00F15400">
            <w:pPr>
              <w:jc w:val="right"/>
              <w:rPr>
                <w:bCs/>
              </w:rPr>
            </w:pPr>
            <w:r>
              <w:rPr>
                <w:bCs/>
              </w:rPr>
              <w:t>178</w:t>
            </w:r>
          </w:p>
        </w:tc>
      </w:tr>
      <w:tr w:rsidR="002D6D5D" w:rsidRPr="005B724A" w14:paraId="24EAAC86" w14:textId="77777777" w:rsidTr="00F15400">
        <w:tc>
          <w:tcPr>
            <w:tcW w:w="3110" w:type="dxa"/>
          </w:tcPr>
          <w:p w14:paraId="1146010F" w14:textId="3317ADF1" w:rsidR="002D6D5D" w:rsidRPr="005B724A" w:rsidRDefault="004F38F8" w:rsidP="002D6D5D">
            <w:pPr>
              <w:rPr>
                <w:bCs/>
              </w:rPr>
            </w:pPr>
            <w:r w:rsidRPr="005B724A">
              <w:rPr>
                <w:bCs/>
              </w:rPr>
              <w:t>Other</w:t>
            </w:r>
            <w:r w:rsidR="00AD79AC">
              <w:rPr>
                <w:bCs/>
              </w:rPr>
              <w:t>*</w:t>
            </w:r>
          </w:p>
        </w:tc>
        <w:tc>
          <w:tcPr>
            <w:tcW w:w="1800" w:type="dxa"/>
          </w:tcPr>
          <w:p w14:paraId="45A34DC1" w14:textId="42F9BB3E" w:rsidR="002D6D5D" w:rsidRPr="005B724A" w:rsidRDefault="00AD79AC" w:rsidP="00AD79AC">
            <w:pPr>
              <w:jc w:val="right"/>
              <w:rPr>
                <w:bCs/>
              </w:rPr>
            </w:pPr>
            <w:r>
              <w:rPr>
                <w:bCs/>
              </w:rPr>
              <w:t>426</w:t>
            </w:r>
          </w:p>
        </w:tc>
      </w:tr>
      <w:tr w:rsidR="002D6D5D" w:rsidRPr="005B724A" w14:paraId="1BB8847D" w14:textId="77777777" w:rsidTr="00F15400">
        <w:tc>
          <w:tcPr>
            <w:tcW w:w="3110" w:type="dxa"/>
          </w:tcPr>
          <w:p w14:paraId="59E94820" w14:textId="77777777" w:rsidR="002D6D5D" w:rsidRPr="005B724A" w:rsidRDefault="002D6D5D" w:rsidP="002D6D5D">
            <w:pPr>
              <w:rPr>
                <w:b/>
                <w:bCs/>
              </w:rPr>
            </w:pPr>
            <w:r w:rsidRPr="005B724A">
              <w:rPr>
                <w:b/>
                <w:bCs/>
              </w:rPr>
              <w:t>Total</w:t>
            </w:r>
          </w:p>
        </w:tc>
        <w:tc>
          <w:tcPr>
            <w:tcW w:w="1800" w:type="dxa"/>
          </w:tcPr>
          <w:p w14:paraId="6580DD59" w14:textId="7A00CE01" w:rsidR="002D6D5D" w:rsidRPr="005B724A" w:rsidRDefault="00EA5206" w:rsidP="00F15400">
            <w:pPr>
              <w:jc w:val="right"/>
              <w:rPr>
                <w:b/>
                <w:bCs/>
              </w:rPr>
            </w:pPr>
            <w:r>
              <w:rPr>
                <w:b/>
                <w:bCs/>
              </w:rPr>
              <w:t>766</w:t>
            </w:r>
          </w:p>
        </w:tc>
      </w:tr>
    </w:tbl>
    <w:p w14:paraId="10BF6B22" w14:textId="77777777" w:rsidR="002D6D5D" w:rsidRDefault="002D6D5D" w:rsidP="002D6D5D">
      <w:pPr>
        <w:rPr>
          <w:bCs/>
        </w:rPr>
      </w:pPr>
    </w:p>
    <w:p w14:paraId="3E75B17D" w14:textId="76D35545" w:rsidR="00AD79AC" w:rsidRDefault="00AD79AC" w:rsidP="002D6D5D">
      <w:pPr>
        <w:rPr>
          <w:bCs/>
        </w:rPr>
      </w:pPr>
      <w:r>
        <w:rPr>
          <w:bCs/>
        </w:rPr>
        <w:t>*Other includes assets within the Catford Regeneration Partnership Limited</w:t>
      </w:r>
    </w:p>
    <w:p w14:paraId="758D26A0" w14:textId="77777777" w:rsidR="00AD79AC" w:rsidRPr="005B724A" w:rsidRDefault="00AD79AC" w:rsidP="002D6D5D">
      <w:pPr>
        <w:rPr>
          <w:bCs/>
        </w:rPr>
      </w:pPr>
    </w:p>
    <w:p w14:paraId="1A7DA1EA" w14:textId="3A1AFE07" w:rsidR="002D6D5D" w:rsidRPr="005B724A" w:rsidRDefault="002D6D5D" w:rsidP="004F38F8">
      <w:pPr>
        <w:rPr>
          <w:bCs/>
        </w:rPr>
      </w:pPr>
      <w:r w:rsidRPr="005B724A">
        <w:rPr>
          <w:bCs/>
          <w:i/>
        </w:rPr>
        <w:t>Operational Assets</w:t>
      </w:r>
      <w:r w:rsidRPr="005B724A">
        <w:rPr>
          <w:bCs/>
        </w:rPr>
        <w:t xml:space="preserve"> – These are property assets included in the current Facilities Management contract. It includes Town Hall, Laurence House, Eros House Mer</w:t>
      </w:r>
      <w:r w:rsidR="00583E7B" w:rsidRPr="005B724A">
        <w:rPr>
          <w:bCs/>
        </w:rPr>
        <w:t>cia Grove, community facilities and</w:t>
      </w:r>
      <w:r w:rsidRPr="005B724A">
        <w:rPr>
          <w:bCs/>
        </w:rPr>
        <w:t xml:space="preserve"> youth centres but excludes for example buildings in parks which are subject to the Parks management contract </w:t>
      </w:r>
      <w:r w:rsidR="00583E7B" w:rsidRPr="005B724A">
        <w:rPr>
          <w:bCs/>
        </w:rPr>
        <w:t>and</w:t>
      </w:r>
      <w:r w:rsidRPr="005B724A">
        <w:rPr>
          <w:bCs/>
        </w:rPr>
        <w:t xml:space="preserve"> leisure facilities which are managed separately by third parties. There are </w:t>
      </w:r>
      <w:r w:rsidRPr="005B724A">
        <w:rPr>
          <w:b/>
          <w:bCs/>
        </w:rPr>
        <w:t>106</w:t>
      </w:r>
      <w:r w:rsidRPr="005B724A">
        <w:rPr>
          <w:bCs/>
        </w:rPr>
        <w:t xml:space="preserve"> assets in the operational estate. </w:t>
      </w:r>
    </w:p>
    <w:p w14:paraId="60B94813" w14:textId="77777777" w:rsidR="002D6D5D" w:rsidRPr="005B724A" w:rsidRDefault="002D6D5D" w:rsidP="002D6D5D">
      <w:pPr>
        <w:rPr>
          <w:bCs/>
        </w:rPr>
      </w:pPr>
    </w:p>
    <w:p w14:paraId="3F0EF857" w14:textId="77777777" w:rsidR="002D6D5D" w:rsidRPr="005B724A" w:rsidRDefault="002D6D5D" w:rsidP="004F38F8">
      <w:pPr>
        <w:rPr>
          <w:bCs/>
        </w:rPr>
      </w:pPr>
      <w:r w:rsidRPr="005B724A">
        <w:rPr>
          <w:bCs/>
          <w:i/>
        </w:rPr>
        <w:t>Schools –</w:t>
      </w:r>
      <w:r w:rsidRPr="005B724A">
        <w:rPr>
          <w:bCs/>
        </w:rPr>
        <w:t xml:space="preserve"> These are school and school assets over which the Council hold the freehold. The school estate across both the primary and secondary number </w:t>
      </w:r>
      <w:r w:rsidRPr="005B724A">
        <w:rPr>
          <w:b/>
          <w:bCs/>
        </w:rPr>
        <w:t>88</w:t>
      </w:r>
      <w:r w:rsidRPr="005B724A">
        <w:rPr>
          <w:bCs/>
        </w:rPr>
        <w:t>.</w:t>
      </w:r>
    </w:p>
    <w:p w14:paraId="3C59E99D" w14:textId="77777777" w:rsidR="002D6D5D" w:rsidRPr="005B724A" w:rsidRDefault="002D6D5D" w:rsidP="002D6D5D">
      <w:pPr>
        <w:rPr>
          <w:bCs/>
        </w:rPr>
      </w:pPr>
    </w:p>
    <w:p w14:paraId="6063F4DD" w14:textId="66DACA4F" w:rsidR="002D6D5D" w:rsidRPr="005B724A" w:rsidRDefault="002D6D5D" w:rsidP="004F38F8">
      <w:pPr>
        <w:rPr>
          <w:bCs/>
        </w:rPr>
      </w:pPr>
      <w:r w:rsidRPr="005B724A">
        <w:rPr>
          <w:bCs/>
          <w:i/>
        </w:rPr>
        <w:t>Commercial Portfolio</w:t>
      </w:r>
      <w:r w:rsidRPr="005B724A">
        <w:rPr>
          <w:bCs/>
        </w:rPr>
        <w:t xml:space="preserve"> – These are property assets from which the Council derives revenue income in the form of rent. The Council’s commercial portfolio of property assets number </w:t>
      </w:r>
      <w:r w:rsidR="00EA5206">
        <w:rPr>
          <w:b/>
          <w:bCs/>
        </w:rPr>
        <w:t>178</w:t>
      </w:r>
      <w:r w:rsidRPr="005B724A">
        <w:rPr>
          <w:bCs/>
        </w:rPr>
        <w:t xml:space="preserve"> which represents approximately </w:t>
      </w:r>
      <w:r w:rsidRPr="005B724A">
        <w:rPr>
          <w:b/>
          <w:bCs/>
        </w:rPr>
        <w:t>23</w:t>
      </w:r>
      <w:r w:rsidRPr="005B724A">
        <w:rPr>
          <w:bCs/>
        </w:rPr>
        <w:t>% of the portfolio.</w:t>
      </w:r>
    </w:p>
    <w:p w14:paraId="75B5B167" w14:textId="77777777" w:rsidR="002D6D5D" w:rsidRPr="005B724A" w:rsidRDefault="002D6D5D" w:rsidP="002D6D5D">
      <w:pPr>
        <w:rPr>
          <w:bCs/>
        </w:rPr>
      </w:pPr>
    </w:p>
    <w:p w14:paraId="5663A491" w14:textId="1883585E" w:rsidR="002D6D5D" w:rsidRPr="005B724A" w:rsidRDefault="004F38F8" w:rsidP="004F38F8">
      <w:pPr>
        <w:rPr>
          <w:bCs/>
        </w:rPr>
      </w:pPr>
      <w:r w:rsidRPr="005B724A">
        <w:rPr>
          <w:bCs/>
          <w:i/>
        </w:rPr>
        <w:t>Other</w:t>
      </w:r>
      <w:r w:rsidRPr="005B724A">
        <w:rPr>
          <w:bCs/>
        </w:rPr>
        <w:t xml:space="preserve"> </w:t>
      </w:r>
      <w:r w:rsidR="002D6D5D" w:rsidRPr="005B724A">
        <w:rPr>
          <w:bCs/>
        </w:rPr>
        <w:t xml:space="preserve">– This category of assets are assets which does not fall into any of the above categories or assets which are subject to further work in order to place them under one of the above categories. They number </w:t>
      </w:r>
      <w:r w:rsidR="00AD79AC" w:rsidRPr="00AD79AC">
        <w:rPr>
          <w:b/>
          <w:bCs/>
        </w:rPr>
        <w:t>426</w:t>
      </w:r>
      <w:r w:rsidR="002D6D5D" w:rsidRPr="005B724A">
        <w:rPr>
          <w:bCs/>
        </w:rPr>
        <w:t>.</w:t>
      </w:r>
    </w:p>
    <w:p w14:paraId="05C5EE6E" w14:textId="77777777" w:rsidR="00A23BA3" w:rsidRDefault="00A23BA3" w:rsidP="004019B8">
      <w:pPr>
        <w:rPr>
          <w:bCs/>
        </w:rPr>
      </w:pPr>
    </w:p>
    <w:p w14:paraId="1666E956" w14:textId="2149E316" w:rsidR="00655AAB" w:rsidRDefault="00655AAB" w:rsidP="004019B8">
      <w:pPr>
        <w:rPr>
          <w:bCs/>
        </w:rPr>
      </w:pPr>
      <w:r w:rsidRPr="004005D2">
        <w:rPr>
          <w:bCs/>
        </w:rPr>
        <w:t>Section 3.2.3 on estate management sets out the approach proposed to classification and its role in managing the</w:t>
      </w:r>
      <w:r>
        <w:rPr>
          <w:bCs/>
        </w:rPr>
        <w:t xml:space="preserve"> </w:t>
      </w:r>
      <w:r w:rsidR="00BF3432">
        <w:rPr>
          <w:bCs/>
        </w:rPr>
        <w:t>assets</w:t>
      </w:r>
      <w:r>
        <w:rPr>
          <w:bCs/>
        </w:rPr>
        <w:t>.</w:t>
      </w:r>
    </w:p>
    <w:p w14:paraId="6CC999B3" w14:textId="77777777" w:rsidR="00655AAB" w:rsidRPr="005B724A" w:rsidRDefault="00655AAB" w:rsidP="004019B8">
      <w:pPr>
        <w:rPr>
          <w:bCs/>
        </w:rPr>
      </w:pPr>
    </w:p>
    <w:p w14:paraId="3599EB48" w14:textId="06FCA1AA" w:rsidR="000A5E7A" w:rsidRPr="00CB5BC4" w:rsidRDefault="004019B8" w:rsidP="004019B8">
      <w:pPr>
        <w:rPr>
          <w:b/>
          <w:bCs/>
          <w:sz w:val="24"/>
          <w:szCs w:val="24"/>
        </w:rPr>
      </w:pPr>
      <w:r w:rsidRPr="00CB5BC4">
        <w:rPr>
          <w:b/>
          <w:bCs/>
          <w:sz w:val="24"/>
          <w:szCs w:val="24"/>
        </w:rPr>
        <w:t>2.</w:t>
      </w:r>
      <w:r w:rsidR="0062710E" w:rsidRPr="00CB5BC4">
        <w:rPr>
          <w:b/>
          <w:bCs/>
          <w:sz w:val="24"/>
          <w:szCs w:val="24"/>
        </w:rPr>
        <w:t>4</w:t>
      </w:r>
      <w:r w:rsidRPr="00CB5BC4">
        <w:rPr>
          <w:b/>
          <w:bCs/>
          <w:sz w:val="24"/>
          <w:szCs w:val="24"/>
        </w:rPr>
        <w:tab/>
      </w:r>
      <w:r w:rsidR="00655AAB">
        <w:rPr>
          <w:b/>
          <w:bCs/>
          <w:sz w:val="24"/>
          <w:szCs w:val="24"/>
        </w:rPr>
        <w:t>Source data for the asset register</w:t>
      </w:r>
    </w:p>
    <w:p w14:paraId="379CB9E0" w14:textId="77777777" w:rsidR="004019B8" w:rsidRPr="005B724A" w:rsidRDefault="004019B8" w:rsidP="004019B8">
      <w:pPr>
        <w:rPr>
          <w:bCs/>
        </w:rPr>
      </w:pPr>
    </w:p>
    <w:p w14:paraId="492D0605" w14:textId="00A2A760" w:rsidR="009F5118" w:rsidRPr="005B724A" w:rsidRDefault="009F5118" w:rsidP="009F5118">
      <w:pPr>
        <w:rPr>
          <w:bCs/>
        </w:rPr>
      </w:pPr>
      <w:r w:rsidRPr="005B724A">
        <w:rPr>
          <w:bCs/>
        </w:rPr>
        <w:t>The Asset Register covers a large number of varied properties generating a complex d</w:t>
      </w:r>
      <w:r w:rsidR="006E0B90">
        <w:rPr>
          <w:bCs/>
        </w:rPr>
        <w:t xml:space="preserve">ata set that changes over time. </w:t>
      </w:r>
      <w:r w:rsidRPr="005B724A">
        <w:rPr>
          <w:bCs/>
        </w:rPr>
        <w:t xml:space="preserve">The information used to compile the register is derived from the Council’s Property Terrier, which holds the complete ownership record of all property owned or used by the Council, past and present and dates back to the Victorian period. Data from the Terrier is held on the Council’s corporate property database LandMaster AdVantage. The LandMaster database holds acquisition, usage, tenancy, head-lease and disposal details for all non-rental residential property. This is updated when completion memoranda are issued by Legal Services for individual acquisitions and disposals and when property managers notify of new leases, rent reviews and lease terminations. </w:t>
      </w:r>
    </w:p>
    <w:p w14:paraId="15A90E67" w14:textId="77777777" w:rsidR="009F5118" w:rsidRPr="005B724A" w:rsidRDefault="009F5118" w:rsidP="009F5118">
      <w:pPr>
        <w:rPr>
          <w:bCs/>
        </w:rPr>
      </w:pPr>
    </w:p>
    <w:p w14:paraId="112F5BD1" w14:textId="3E90EAB3" w:rsidR="004F38F8" w:rsidRPr="005B724A" w:rsidRDefault="009F5118" w:rsidP="004F38F8">
      <w:pPr>
        <w:rPr>
          <w:bCs/>
        </w:rPr>
      </w:pPr>
      <w:r w:rsidRPr="005B724A">
        <w:rPr>
          <w:bCs/>
        </w:rPr>
        <w:t xml:space="preserve">The consolidation of a revised data set by Corporate Asset Services in 2014 marks a significant improvement in the quality of data available for non-housing property assets. </w:t>
      </w:r>
      <w:r w:rsidR="004F38F8" w:rsidRPr="005B724A">
        <w:rPr>
          <w:bCs/>
        </w:rPr>
        <w:t xml:space="preserve">The published register will be updated on a quarterly basis </w:t>
      </w:r>
      <w:r w:rsidRPr="005B724A">
        <w:rPr>
          <w:bCs/>
        </w:rPr>
        <w:t xml:space="preserve">to </w:t>
      </w:r>
      <w:r w:rsidR="004F38F8" w:rsidRPr="005B724A">
        <w:rPr>
          <w:bCs/>
        </w:rPr>
        <w:t xml:space="preserve">reflect where the Council has acquired or disposed of assets. </w:t>
      </w:r>
      <w:r w:rsidRPr="005B724A">
        <w:rPr>
          <w:bCs/>
        </w:rPr>
        <w:t xml:space="preserve"> </w:t>
      </w:r>
      <w:r w:rsidR="004F38F8" w:rsidRPr="005B724A">
        <w:rPr>
          <w:bCs/>
        </w:rPr>
        <w:t>It will also indicate where assets have changed category, for example, moving surplus assets from the operational portfolio to the commercial portfolio to generate revenue income.</w:t>
      </w:r>
      <w:r w:rsidRPr="005B724A">
        <w:rPr>
          <w:bCs/>
          <w:highlight w:val="yellow"/>
        </w:rPr>
        <w:t xml:space="preserve"> </w:t>
      </w:r>
    </w:p>
    <w:p w14:paraId="0085FEE8" w14:textId="77777777" w:rsidR="009F5118" w:rsidRPr="005B724A" w:rsidRDefault="009F5118" w:rsidP="004F38F8">
      <w:pPr>
        <w:rPr>
          <w:bCs/>
        </w:rPr>
      </w:pPr>
    </w:p>
    <w:p w14:paraId="5BAB8B4C" w14:textId="6C95CF41" w:rsidR="004F38F8" w:rsidRPr="005B724A" w:rsidRDefault="009F5118" w:rsidP="004F38F8">
      <w:pPr>
        <w:rPr>
          <w:bCs/>
        </w:rPr>
      </w:pPr>
      <w:r w:rsidRPr="005B724A">
        <w:rPr>
          <w:bCs/>
        </w:rPr>
        <w:t>The Asset Register is a fundamental building block in the delivery of the new corporate asset management system</w:t>
      </w:r>
      <w:r w:rsidR="0012094A">
        <w:rPr>
          <w:bCs/>
        </w:rPr>
        <w:t xml:space="preserve"> (AMS)</w:t>
      </w:r>
      <w:r w:rsidRPr="005B724A">
        <w:rPr>
          <w:bCs/>
        </w:rPr>
        <w:t>.</w:t>
      </w:r>
      <w:r w:rsidR="0012094A">
        <w:rPr>
          <w:bCs/>
        </w:rPr>
        <w:t xml:space="preserve"> </w:t>
      </w:r>
      <w:r w:rsidR="004F38F8" w:rsidRPr="005B724A">
        <w:rPr>
          <w:bCs/>
        </w:rPr>
        <w:t>The new corporate AMS will hold detailed information on assets including information on ownership, maintenance cost, value, income, condition, use, health and safety</w:t>
      </w:r>
      <w:r w:rsidRPr="005B724A">
        <w:rPr>
          <w:bCs/>
        </w:rPr>
        <w:t xml:space="preserve"> and </w:t>
      </w:r>
      <w:r w:rsidR="004F38F8" w:rsidRPr="005B724A">
        <w:rPr>
          <w:bCs/>
        </w:rPr>
        <w:t xml:space="preserve">statutory compliance </w:t>
      </w:r>
      <w:r w:rsidRPr="005B724A">
        <w:rPr>
          <w:bCs/>
        </w:rPr>
        <w:t xml:space="preserve">and will integrate </w:t>
      </w:r>
      <w:r w:rsidR="004F38F8" w:rsidRPr="005B724A">
        <w:rPr>
          <w:bCs/>
        </w:rPr>
        <w:t xml:space="preserve">work streams </w:t>
      </w:r>
      <w:r w:rsidRPr="005B724A">
        <w:rPr>
          <w:bCs/>
        </w:rPr>
        <w:t xml:space="preserve">and provide a resource for real time information </w:t>
      </w:r>
      <w:r w:rsidR="004F38F8" w:rsidRPr="005B724A">
        <w:rPr>
          <w:bCs/>
        </w:rPr>
        <w:t xml:space="preserve">for staff </w:t>
      </w:r>
      <w:r w:rsidRPr="005B724A">
        <w:rPr>
          <w:bCs/>
        </w:rPr>
        <w:t xml:space="preserve">working in </w:t>
      </w:r>
      <w:r w:rsidR="004F38F8" w:rsidRPr="005B724A">
        <w:rPr>
          <w:bCs/>
        </w:rPr>
        <w:t xml:space="preserve">Corporate Asset Services </w:t>
      </w:r>
      <w:r w:rsidRPr="005B724A">
        <w:rPr>
          <w:bCs/>
        </w:rPr>
        <w:t xml:space="preserve">and beyond. </w:t>
      </w:r>
    </w:p>
    <w:p w14:paraId="5F0BC1FE" w14:textId="77777777" w:rsidR="004F38F8" w:rsidRPr="005B724A" w:rsidRDefault="004F38F8" w:rsidP="004F38F8">
      <w:pPr>
        <w:rPr>
          <w:bCs/>
        </w:rPr>
      </w:pPr>
    </w:p>
    <w:p w14:paraId="59540613" w14:textId="76DB3AEF" w:rsidR="004F38F8" w:rsidRPr="005B724A" w:rsidRDefault="0012094A" w:rsidP="004F38F8">
      <w:pPr>
        <w:rPr>
          <w:bCs/>
        </w:rPr>
      </w:pPr>
      <w:r w:rsidRPr="004005D2">
        <w:rPr>
          <w:bCs/>
        </w:rPr>
        <w:t>S</w:t>
      </w:r>
      <w:r w:rsidR="009F5118" w:rsidRPr="004005D2">
        <w:rPr>
          <w:bCs/>
        </w:rPr>
        <w:t xml:space="preserve">ection </w:t>
      </w:r>
      <w:r w:rsidR="00000103" w:rsidRPr="004005D2">
        <w:rPr>
          <w:bCs/>
        </w:rPr>
        <w:t>3.</w:t>
      </w:r>
      <w:r w:rsidR="009F5118" w:rsidRPr="004005D2">
        <w:rPr>
          <w:bCs/>
        </w:rPr>
        <w:t>2</w:t>
      </w:r>
      <w:r w:rsidR="00E523DD" w:rsidRPr="004005D2">
        <w:rPr>
          <w:bCs/>
        </w:rPr>
        <w:t>.</w:t>
      </w:r>
      <w:r w:rsidR="005056A6" w:rsidRPr="004005D2">
        <w:rPr>
          <w:bCs/>
        </w:rPr>
        <w:t>1</w:t>
      </w:r>
      <w:r w:rsidR="009F5118" w:rsidRPr="004005D2">
        <w:rPr>
          <w:bCs/>
        </w:rPr>
        <w:t xml:space="preserve"> </w:t>
      </w:r>
      <w:r w:rsidR="00655AAB" w:rsidRPr="004005D2">
        <w:rPr>
          <w:bCs/>
        </w:rPr>
        <w:t xml:space="preserve">on data capture, storage and analysis </w:t>
      </w:r>
      <w:r w:rsidRPr="004005D2">
        <w:rPr>
          <w:bCs/>
        </w:rPr>
        <w:t>sets out more details on the AMS and the associated Data</w:t>
      </w:r>
      <w:r w:rsidRPr="0012094A">
        <w:rPr>
          <w:bCs/>
        </w:rPr>
        <w:t xml:space="preserve"> Management Handbook</w:t>
      </w:r>
      <w:r w:rsidRPr="0012094A">
        <w:rPr>
          <w:rFonts w:asciiTheme="minorHAnsi" w:eastAsia="Times New Roman" w:hAnsiTheme="minorHAnsi" w:cstheme="minorHAnsi"/>
        </w:rPr>
        <w:t xml:space="preserve"> that determines </w:t>
      </w:r>
      <w:r w:rsidRPr="0012094A">
        <w:rPr>
          <w:bCs/>
        </w:rPr>
        <w:t>the required business processes for managing flows of data and will ensure greater accountability for data and transparency about information.</w:t>
      </w:r>
    </w:p>
    <w:p w14:paraId="0B7DA8A7" w14:textId="77777777" w:rsidR="00132398" w:rsidRPr="005B724A" w:rsidRDefault="00132398" w:rsidP="004019B8">
      <w:pPr>
        <w:rPr>
          <w:bCs/>
        </w:rPr>
      </w:pPr>
    </w:p>
    <w:p w14:paraId="62F82950" w14:textId="5C6FFAD2" w:rsidR="00EA7737" w:rsidRPr="00CB5BC4" w:rsidRDefault="00EA7737" w:rsidP="00EA7737">
      <w:pPr>
        <w:rPr>
          <w:b/>
          <w:bCs/>
          <w:sz w:val="24"/>
          <w:szCs w:val="24"/>
        </w:rPr>
      </w:pPr>
      <w:r w:rsidRPr="00CB5BC4">
        <w:rPr>
          <w:b/>
          <w:bCs/>
          <w:sz w:val="24"/>
          <w:szCs w:val="24"/>
        </w:rPr>
        <w:t>2.</w:t>
      </w:r>
      <w:r>
        <w:rPr>
          <w:b/>
          <w:bCs/>
          <w:sz w:val="24"/>
          <w:szCs w:val="24"/>
        </w:rPr>
        <w:t>5</w:t>
      </w:r>
      <w:r w:rsidRPr="00CB5BC4">
        <w:rPr>
          <w:b/>
          <w:bCs/>
          <w:sz w:val="24"/>
          <w:szCs w:val="24"/>
        </w:rPr>
        <w:tab/>
      </w:r>
      <w:r>
        <w:rPr>
          <w:b/>
          <w:bCs/>
          <w:sz w:val="24"/>
          <w:szCs w:val="24"/>
        </w:rPr>
        <w:t>Highways</w:t>
      </w:r>
    </w:p>
    <w:p w14:paraId="26EAE983" w14:textId="7E925477" w:rsidR="00EA7737" w:rsidRDefault="00EA7737" w:rsidP="00EA7737">
      <w:pPr>
        <w:rPr>
          <w:bCs/>
        </w:rPr>
      </w:pPr>
    </w:p>
    <w:p w14:paraId="19FEB116" w14:textId="43090396" w:rsidR="00EA7737" w:rsidRPr="00EA7737" w:rsidRDefault="00EA7737" w:rsidP="00EA7737">
      <w:pPr>
        <w:rPr>
          <w:bCs/>
        </w:rPr>
      </w:pPr>
      <w:r w:rsidRPr="00EA7737">
        <w:rPr>
          <w:bCs/>
        </w:rPr>
        <w:t xml:space="preserve">Lewisham </w:t>
      </w:r>
      <w:r>
        <w:rPr>
          <w:bCs/>
        </w:rPr>
        <w:t xml:space="preserve">Council </w:t>
      </w:r>
      <w:r w:rsidRPr="00EA7737">
        <w:rPr>
          <w:bCs/>
        </w:rPr>
        <w:t xml:space="preserve">is responsible for managing and maintaining 392km of public road network.  </w:t>
      </w:r>
      <w:r>
        <w:rPr>
          <w:bCs/>
        </w:rPr>
        <w:t xml:space="preserve">The Council’s responsibilities include </w:t>
      </w:r>
      <w:r w:rsidRPr="00EA7737">
        <w:rPr>
          <w:bCs/>
        </w:rPr>
        <w:t>ensur</w:t>
      </w:r>
      <w:r>
        <w:rPr>
          <w:bCs/>
        </w:rPr>
        <w:t>ing</w:t>
      </w:r>
      <w:r w:rsidRPr="00EA7737">
        <w:rPr>
          <w:bCs/>
        </w:rPr>
        <w:t xml:space="preserve"> highway assets are fit for purpose and fulfil their functions in an ef</w:t>
      </w:r>
      <w:r w:rsidR="006E0B90">
        <w:rPr>
          <w:bCs/>
        </w:rPr>
        <w:t xml:space="preserve">ficient and sustainable manner. </w:t>
      </w:r>
      <w:r>
        <w:rPr>
          <w:bCs/>
        </w:rPr>
        <w:t xml:space="preserve">The Council </w:t>
      </w:r>
      <w:r w:rsidRPr="00EA7737">
        <w:rPr>
          <w:bCs/>
        </w:rPr>
        <w:t xml:space="preserve">asset management practices </w:t>
      </w:r>
      <w:r>
        <w:rPr>
          <w:bCs/>
        </w:rPr>
        <w:t xml:space="preserve">for highways take </w:t>
      </w:r>
      <w:r w:rsidRPr="00EA7737">
        <w:rPr>
          <w:bCs/>
        </w:rPr>
        <w:t xml:space="preserve">a long-term </w:t>
      </w:r>
      <w:r>
        <w:rPr>
          <w:bCs/>
        </w:rPr>
        <w:t xml:space="preserve">approach to </w:t>
      </w:r>
      <w:r w:rsidR="00C66643">
        <w:rPr>
          <w:bCs/>
        </w:rPr>
        <w:t xml:space="preserve">managing and investing in the borough’s highways </w:t>
      </w:r>
      <w:r w:rsidRPr="00EA7737">
        <w:rPr>
          <w:bCs/>
        </w:rPr>
        <w:t xml:space="preserve">to </w:t>
      </w:r>
      <w:r w:rsidR="00C66643">
        <w:rPr>
          <w:bCs/>
        </w:rPr>
        <w:t xml:space="preserve">make the most effective use of available </w:t>
      </w:r>
      <w:r w:rsidRPr="00EA7737">
        <w:rPr>
          <w:bCs/>
        </w:rPr>
        <w:t xml:space="preserve">resources and </w:t>
      </w:r>
      <w:r w:rsidR="00C66643">
        <w:rPr>
          <w:bCs/>
        </w:rPr>
        <w:t xml:space="preserve">to </w:t>
      </w:r>
      <w:r w:rsidRPr="00EA7737">
        <w:rPr>
          <w:bCs/>
        </w:rPr>
        <w:t xml:space="preserve">ensure </w:t>
      </w:r>
      <w:r w:rsidR="00C66643">
        <w:rPr>
          <w:bCs/>
        </w:rPr>
        <w:t xml:space="preserve">the safety of </w:t>
      </w:r>
      <w:r w:rsidRPr="00EA7737">
        <w:rPr>
          <w:bCs/>
        </w:rPr>
        <w:t>highway</w:t>
      </w:r>
      <w:r w:rsidR="00C66643">
        <w:rPr>
          <w:bCs/>
        </w:rPr>
        <w:t xml:space="preserve"> and compliance with </w:t>
      </w:r>
      <w:r w:rsidRPr="00EA7737">
        <w:rPr>
          <w:bCs/>
        </w:rPr>
        <w:t>statutory requirement</w:t>
      </w:r>
      <w:r w:rsidR="00C66643">
        <w:rPr>
          <w:bCs/>
        </w:rPr>
        <w:t>s</w:t>
      </w:r>
      <w:r w:rsidRPr="00EA7737">
        <w:rPr>
          <w:bCs/>
        </w:rPr>
        <w:t>.</w:t>
      </w:r>
    </w:p>
    <w:p w14:paraId="0A2DF49C" w14:textId="77777777" w:rsidR="00C66643" w:rsidRDefault="00C66643" w:rsidP="00EA7737">
      <w:pPr>
        <w:rPr>
          <w:bCs/>
        </w:rPr>
      </w:pPr>
    </w:p>
    <w:p w14:paraId="532FA8F3" w14:textId="01D58043" w:rsidR="00EA7737" w:rsidRPr="00EA7737" w:rsidRDefault="00EA7737" w:rsidP="00EA7737">
      <w:pPr>
        <w:rPr>
          <w:bCs/>
        </w:rPr>
      </w:pPr>
      <w:r w:rsidRPr="00EA7737">
        <w:rPr>
          <w:bCs/>
        </w:rPr>
        <w:t>In 2014/15, Lewisham has a total budget of £5.7 million</w:t>
      </w:r>
      <w:r w:rsidR="00C66643">
        <w:rPr>
          <w:bCs/>
        </w:rPr>
        <w:t xml:space="preserve"> for highways</w:t>
      </w:r>
      <w:r w:rsidRPr="00EA7737">
        <w:rPr>
          <w:bCs/>
        </w:rPr>
        <w:t xml:space="preserve">, </w:t>
      </w:r>
      <w:r w:rsidR="00C66643">
        <w:rPr>
          <w:bCs/>
        </w:rPr>
        <w:t>with £4 million</w:t>
      </w:r>
      <w:r w:rsidRPr="00EA7737">
        <w:rPr>
          <w:bCs/>
        </w:rPr>
        <w:t xml:space="preserve"> </w:t>
      </w:r>
      <w:r w:rsidR="00C66643">
        <w:rPr>
          <w:bCs/>
        </w:rPr>
        <w:t xml:space="preserve">for </w:t>
      </w:r>
      <w:r w:rsidRPr="00EA7737">
        <w:rPr>
          <w:bCs/>
        </w:rPr>
        <w:t xml:space="preserve">capital </w:t>
      </w:r>
      <w:r w:rsidR="00C66643">
        <w:rPr>
          <w:bCs/>
        </w:rPr>
        <w:t xml:space="preserve">investment </w:t>
      </w:r>
      <w:r w:rsidRPr="00EA7737">
        <w:rPr>
          <w:bCs/>
        </w:rPr>
        <w:t>and £1.</w:t>
      </w:r>
      <w:r w:rsidR="00C66643">
        <w:rPr>
          <w:bCs/>
        </w:rPr>
        <w:t xml:space="preserve">7 million revenue maintenance.  The current assessment of </w:t>
      </w:r>
      <w:r w:rsidRPr="00EA7737">
        <w:rPr>
          <w:bCs/>
        </w:rPr>
        <w:t xml:space="preserve">the current condition of the </w:t>
      </w:r>
      <w:r w:rsidR="00C66643">
        <w:rPr>
          <w:bCs/>
        </w:rPr>
        <w:t xml:space="preserve">borough’s </w:t>
      </w:r>
      <w:r w:rsidRPr="00EA7737">
        <w:rPr>
          <w:bCs/>
        </w:rPr>
        <w:t>highway assets</w:t>
      </w:r>
      <w:r w:rsidR="00C66643">
        <w:rPr>
          <w:bCs/>
        </w:rPr>
        <w:t xml:space="preserve"> is a Gross Replacement Cost (GRC) of </w:t>
      </w:r>
      <w:r w:rsidRPr="00EA7737">
        <w:rPr>
          <w:bCs/>
        </w:rPr>
        <w:t xml:space="preserve">£436 million and a </w:t>
      </w:r>
      <w:r w:rsidR="00C66643">
        <w:rPr>
          <w:bCs/>
        </w:rPr>
        <w:t>Depreciated Replacement Cost (</w:t>
      </w:r>
      <w:r w:rsidRPr="00EA7737">
        <w:rPr>
          <w:bCs/>
        </w:rPr>
        <w:t>DRC</w:t>
      </w:r>
      <w:r w:rsidR="00C66643">
        <w:rPr>
          <w:bCs/>
        </w:rPr>
        <w:t>)</w:t>
      </w:r>
      <w:r w:rsidRPr="00EA7737">
        <w:rPr>
          <w:bCs/>
        </w:rPr>
        <w:t xml:space="preserve"> of £296 million</w:t>
      </w:r>
      <w:r w:rsidR="006E0B90">
        <w:rPr>
          <w:bCs/>
        </w:rPr>
        <w:t xml:space="preserve">, with depreciated calculated at </w:t>
      </w:r>
      <w:r w:rsidRPr="00EA7737">
        <w:rPr>
          <w:bCs/>
        </w:rPr>
        <w:t>-£140 million.</w:t>
      </w:r>
    </w:p>
    <w:p w14:paraId="667145F8" w14:textId="622E31A4" w:rsidR="00EA7737" w:rsidRPr="00EA7737" w:rsidRDefault="00EA7737" w:rsidP="00EA7737">
      <w:pPr>
        <w:rPr>
          <w:bCs/>
        </w:rPr>
      </w:pPr>
    </w:p>
    <w:p w14:paraId="4EF629BF" w14:textId="29BC7C10" w:rsidR="002F7B4C" w:rsidRDefault="006E0B90" w:rsidP="00EA7737">
      <w:pPr>
        <w:rPr>
          <w:bCs/>
        </w:rPr>
      </w:pPr>
      <w:r>
        <w:rPr>
          <w:bCs/>
        </w:rPr>
        <w:t xml:space="preserve">The detailed approach to the borough’s highway assets is set out in the Highways Asset Management Strategy and reported within </w:t>
      </w:r>
      <w:r w:rsidR="002F7B4C">
        <w:rPr>
          <w:bCs/>
        </w:rPr>
        <w:t xml:space="preserve">the </w:t>
      </w:r>
      <w:r>
        <w:rPr>
          <w:bCs/>
        </w:rPr>
        <w:t xml:space="preserve">annual </w:t>
      </w:r>
      <w:r w:rsidR="002F7B4C">
        <w:rPr>
          <w:bCs/>
        </w:rPr>
        <w:t xml:space="preserve">Regeneration and Asset Management Business Report. </w:t>
      </w:r>
      <w:r>
        <w:rPr>
          <w:bCs/>
        </w:rPr>
        <w:t xml:space="preserve"> The Council is looking to take an increasingly integrated approach to planning, investment and management of assets to create opportunities to achieve more with the constrained resources available and ensure our policies and programmes are aligned to delivery of the Council’s corporate outcomes.  The management of the borough’s highways assets in particular is an opportunity to accelerate regeneration programmes and ensure a holistic approach to the public realm and the infrastructure of the borough. </w:t>
      </w:r>
    </w:p>
    <w:p w14:paraId="3B7CEC53" w14:textId="77777777" w:rsidR="002F7B4C" w:rsidRDefault="002F7B4C">
      <w:pPr>
        <w:spacing w:after="200" w:line="276" w:lineRule="auto"/>
        <w:rPr>
          <w:bCs/>
        </w:rPr>
      </w:pPr>
      <w:r>
        <w:rPr>
          <w:bCs/>
        </w:rPr>
        <w:br w:type="page"/>
      </w:r>
    </w:p>
    <w:p w14:paraId="3740EA9C" w14:textId="77777777" w:rsidR="00EA7737" w:rsidRPr="005B724A" w:rsidRDefault="00EA7737" w:rsidP="00EA7737">
      <w:pPr>
        <w:rPr>
          <w:bCs/>
        </w:rPr>
      </w:pPr>
    </w:p>
    <w:p w14:paraId="02CA170C" w14:textId="5560EAEE" w:rsidR="000A5E7A" w:rsidRPr="001A2560" w:rsidRDefault="006B0849" w:rsidP="000A5E7A">
      <w:r w:rsidRPr="001A2560">
        <w:rPr>
          <w:b/>
          <w:bCs/>
          <w:sz w:val="28"/>
          <w:szCs w:val="28"/>
          <w:highlight w:val="lightGray"/>
        </w:rPr>
        <w:t>3</w:t>
      </w:r>
      <w:r w:rsidR="004019B8" w:rsidRPr="001A2560">
        <w:rPr>
          <w:b/>
          <w:bCs/>
          <w:sz w:val="28"/>
          <w:szCs w:val="28"/>
          <w:highlight w:val="lightGray"/>
        </w:rPr>
        <w:t>)</w:t>
      </w:r>
      <w:r w:rsidR="004019B8" w:rsidRPr="001A2560">
        <w:rPr>
          <w:b/>
          <w:bCs/>
          <w:sz w:val="28"/>
          <w:szCs w:val="28"/>
          <w:highlight w:val="lightGray"/>
        </w:rPr>
        <w:tab/>
      </w:r>
      <w:r w:rsidR="00301D5C" w:rsidRPr="001A2560">
        <w:rPr>
          <w:b/>
          <w:bCs/>
          <w:sz w:val="28"/>
          <w:szCs w:val="28"/>
          <w:highlight w:val="lightGray"/>
        </w:rPr>
        <w:t>A</w:t>
      </w:r>
      <w:r w:rsidR="00E06354" w:rsidRPr="001A2560">
        <w:rPr>
          <w:b/>
          <w:bCs/>
          <w:sz w:val="28"/>
          <w:szCs w:val="28"/>
          <w:highlight w:val="lightGray"/>
        </w:rPr>
        <w:t>SSET MANAGEMENT</w:t>
      </w:r>
      <w:r w:rsidR="001A2560" w:rsidRPr="001A2560">
        <w:rPr>
          <w:b/>
          <w:bCs/>
          <w:sz w:val="28"/>
          <w:szCs w:val="28"/>
          <w:highlight w:val="lightGray"/>
        </w:rPr>
        <w:t xml:space="preserve"> </w:t>
      </w:r>
      <w:r w:rsidR="001A2560">
        <w:rPr>
          <w:b/>
          <w:bCs/>
          <w:sz w:val="28"/>
          <w:szCs w:val="28"/>
          <w:highlight w:val="lightGray"/>
        </w:rPr>
        <w:t>AND ACCOMMODATION STRATEGY</w:t>
      </w:r>
      <w:r w:rsidR="001A2560" w:rsidRPr="001A2560">
        <w:rPr>
          <w:b/>
          <w:bCs/>
          <w:sz w:val="28"/>
          <w:szCs w:val="28"/>
          <w:highlight w:val="lightGray"/>
        </w:rPr>
        <w:t xml:space="preserve"> </w:t>
      </w:r>
      <w:r w:rsidR="000A5E7A" w:rsidRPr="001A2560">
        <w:tab/>
      </w:r>
    </w:p>
    <w:p w14:paraId="0D5A7B04" w14:textId="77777777" w:rsidR="004019B8" w:rsidRPr="005B724A" w:rsidRDefault="004019B8" w:rsidP="004019B8"/>
    <w:p w14:paraId="1DE2E627" w14:textId="2570507C" w:rsidR="000A5E7A" w:rsidRPr="00CB5BC4" w:rsidRDefault="006B0849" w:rsidP="004019B8">
      <w:pPr>
        <w:rPr>
          <w:b/>
          <w:sz w:val="24"/>
          <w:szCs w:val="24"/>
        </w:rPr>
      </w:pPr>
      <w:r w:rsidRPr="00CB5BC4">
        <w:rPr>
          <w:b/>
          <w:sz w:val="24"/>
          <w:szCs w:val="24"/>
        </w:rPr>
        <w:t>3</w:t>
      </w:r>
      <w:r w:rsidR="004019B8" w:rsidRPr="00CB5BC4">
        <w:rPr>
          <w:b/>
          <w:sz w:val="24"/>
          <w:szCs w:val="24"/>
        </w:rPr>
        <w:t>.1</w:t>
      </w:r>
      <w:r w:rsidR="004019B8" w:rsidRPr="00CB5BC4">
        <w:rPr>
          <w:b/>
          <w:sz w:val="24"/>
          <w:szCs w:val="24"/>
        </w:rPr>
        <w:tab/>
      </w:r>
      <w:r w:rsidRPr="00CB5BC4">
        <w:rPr>
          <w:b/>
          <w:sz w:val="24"/>
          <w:szCs w:val="24"/>
        </w:rPr>
        <w:t>Overview</w:t>
      </w:r>
    </w:p>
    <w:p w14:paraId="632DFFAC" w14:textId="77777777" w:rsidR="004019B8" w:rsidRPr="005B724A" w:rsidRDefault="004019B8" w:rsidP="004019B8"/>
    <w:p w14:paraId="14046ADA" w14:textId="08D9C0F9" w:rsidR="00A86C94" w:rsidRPr="00A86C94" w:rsidRDefault="00A86C94" w:rsidP="00A86C94">
      <w:pPr>
        <w:rPr>
          <w:bCs/>
        </w:rPr>
      </w:pPr>
      <w:r w:rsidRPr="00A86C94">
        <w:rPr>
          <w:bCs/>
        </w:rPr>
        <w:t xml:space="preserve">The Council’s assets are the frame within which service delivery takes place. They have a significant, and growing, value and represent a means to drive investment and resources despite the significant pressures on public finances.  </w:t>
      </w:r>
    </w:p>
    <w:p w14:paraId="7A5CE925" w14:textId="77777777" w:rsidR="00A86C94" w:rsidRDefault="00A86C94" w:rsidP="00A86C94">
      <w:pPr>
        <w:rPr>
          <w:bCs/>
        </w:rPr>
      </w:pPr>
    </w:p>
    <w:p w14:paraId="59692E05" w14:textId="294517E8" w:rsidR="00A86C94" w:rsidRDefault="005C6FA7" w:rsidP="00A86C94">
      <w:pPr>
        <w:rPr>
          <w:bCs/>
        </w:rPr>
      </w:pPr>
      <w:r>
        <w:rPr>
          <w:bCs/>
        </w:rPr>
        <w:t>S</w:t>
      </w:r>
      <w:r w:rsidR="00A86C94" w:rsidRPr="00A86C94">
        <w:rPr>
          <w:bCs/>
        </w:rPr>
        <w:t>trengthen</w:t>
      </w:r>
      <w:r>
        <w:rPr>
          <w:bCs/>
        </w:rPr>
        <w:t>ing</w:t>
      </w:r>
      <w:r w:rsidR="00A86C94" w:rsidRPr="00A86C94">
        <w:rPr>
          <w:bCs/>
        </w:rPr>
        <w:t xml:space="preserve"> the management of corporate assets </w:t>
      </w:r>
      <w:r>
        <w:rPr>
          <w:bCs/>
        </w:rPr>
        <w:t xml:space="preserve">has been an important </w:t>
      </w:r>
      <w:r w:rsidRPr="00A86C94">
        <w:rPr>
          <w:bCs/>
        </w:rPr>
        <w:t>priority for the Council</w:t>
      </w:r>
      <w:r>
        <w:rPr>
          <w:bCs/>
        </w:rPr>
        <w:t xml:space="preserve">, providing greater assurance that </w:t>
      </w:r>
      <w:r w:rsidR="00A86C94" w:rsidRPr="00A86C94">
        <w:rPr>
          <w:bCs/>
        </w:rPr>
        <w:t xml:space="preserve">they are safe </w:t>
      </w:r>
      <w:r>
        <w:rPr>
          <w:bCs/>
        </w:rPr>
        <w:t xml:space="preserve">and comply with statutory requirements as well as creating opportunities to </w:t>
      </w:r>
      <w:r w:rsidR="00A86C94" w:rsidRPr="00A86C94">
        <w:rPr>
          <w:bCs/>
        </w:rPr>
        <w:t xml:space="preserve">improve the quality and value for money of the service they can deliver.  The foundations of this change include more robust data and process, increased capacity and stronger governance and decision-making.  </w:t>
      </w:r>
    </w:p>
    <w:p w14:paraId="22D01541" w14:textId="77777777" w:rsidR="00A86C94" w:rsidRDefault="00A86C94" w:rsidP="00A86C94">
      <w:pPr>
        <w:rPr>
          <w:bCs/>
        </w:rPr>
      </w:pPr>
    </w:p>
    <w:p w14:paraId="3F862635" w14:textId="33176024" w:rsidR="002B14E6" w:rsidRPr="005B724A" w:rsidRDefault="002B14E6" w:rsidP="00A86C94">
      <w:r w:rsidRPr="005B724A">
        <w:t xml:space="preserve">The Council is facing unprecedented change to meet the short and medium term pressures on public finances.  </w:t>
      </w:r>
      <w:r w:rsidR="009F5118" w:rsidRPr="005B724A">
        <w:t>In July 2014 a report on the Council’s</w:t>
      </w:r>
      <w:r w:rsidRPr="005B724A">
        <w:t xml:space="preserve"> Corporate Medium Term Financial Strategy </w:t>
      </w:r>
      <w:r w:rsidR="009F5118" w:rsidRPr="005B724A">
        <w:t>stated that: “</w:t>
      </w:r>
      <w:r w:rsidR="00583E7B" w:rsidRPr="005B724A">
        <w:rPr>
          <w:i/>
        </w:rPr>
        <w:t>more challenging times lie ahead and it is inevitable that austerity becomes the new norm. Local authorities have largely acknowledged that deep changes are required if they are to continue to deliver positive outcomes for their citizens.</w:t>
      </w:r>
      <w:r w:rsidR="009F5118" w:rsidRPr="005B724A">
        <w:t>”.</w:t>
      </w:r>
    </w:p>
    <w:p w14:paraId="4C4D1D73" w14:textId="77777777" w:rsidR="002B14E6" w:rsidRPr="005B724A" w:rsidRDefault="002B14E6" w:rsidP="004019B8"/>
    <w:p w14:paraId="3D763B80" w14:textId="21EF71C9" w:rsidR="002B14E6" w:rsidRPr="005B724A" w:rsidRDefault="00A86C94" w:rsidP="00E13042">
      <w:r>
        <w:t>T</w:t>
      </w:r>
      <w:r w:rsidR="002B14E6" w:rsidRPr="005B724A">
        <w:t>he Council’s assets ha</w:t>
      </w:r>
      <w:r w:rsidR="00E13042" w:rsidRPr="005B724A">
        <w:t>ve</w:t>
      </w:r>
      <w:r w:rsidR="002B14E6" w:rsidRPr="005B724A">
        <w:t xml:space="preserve"> a fundamental role to play in </w:t>
      </w:r>
      <w:r w:rsidR="00E13042" w:rsidRPr="005B724A">
        <w:t>achieving this.</w:t>
      </w:r>
      <w:r w:rsidR="002B14E6" w:rsidRPr="005B724A">
        <w:t xml:space="preserve"> This will require a new, more focussed and strategic approach across the Council’s p</w:t>
      </w:r>
      <w:r w:rsidR="008F5437">
        <w:t xml:space="preserve">ortfolio of assets, with a </w:t>
      </w:r>
      <w:r w:rsidR="002B14E6" w:rsidRPr="005B724A">
        <w:t xml:space="preserve">commercial outlook based on more robust evidence and better and more transparent decision-making. </w:t>
      </w:r>
    </w:p>
    <w:p w14:paraId="48024E42" w14:textId="77777777" w:rsidR="002B14E6" w:rsidRPr="005B724A" w:rsidRDefault="002B14E6" w:rsidP="004019B8"/>
    <w:p w14:paraId="14F8E1D4" w14:textId="77777777" w:rsidR="00D37D48" w:rsidRPr="00D37D48" w:rsidRDefault="00D37D48" w:rsidP="00D37D48">
      <w:r w:rsidRPr="00D37D48">
        <w:t xml:space="preserve">A strategic approach to the corporate estate needs to be built on sound foundations.  Central to this is the need to ensure a robust evidenced-based and co-ordinated approach to assets that is delivered in a way that responds to and compliments our IT strategy and workforce requirements.  Major projects across Asset Management, HR and IT are currently reported into the Transformation Board this  allows for strategic oversight of the key projects within those services. </w:t>
      </w:r>
    </w:p>
    <w:p w14:paraId="7CCF61E6" w14:textId="77777777" w:rsidR="00D37D48" w:rsidRDefault="00D37D48" w:rsidP="00583E7B"/>
    <w:p w14:paraId="7BFF5D80" w14:textId="6DB0AD1F" w:rsidR="00E06354" w:rsidRDefault="00583E7B" w:rsidP="00583E7B">
      <w:r w:rsidRPr="005B724A">
        <w:t>This section of the Strategic Asset Management Plan sets out the priorities for delivering on this agenda</w:t>
      </w:r>
      <w:r w:rsidR="00E06354">
        <w:t>, which cover a wide range of activities and work strands</w:t>
      </w:r>
      <w:r w:rsidR="001A2560">
        <w:t>, some</w:t>
      </w:r>
      <w:r w:rsidR="00E06354">
        <w:t xml:space="preserve"> in progress and </w:t>
      </w:r>
      <w:r w:rsidR="001A2560">
        <w:t xml:space="preserve">others </w:t>
      </w:r>
      <w:r w:rsidR="00E06354">
        <w:t xml:space="preserve">to be delivered over the coming years.  </w:t>
      </w:r>
      <w:r w:rsidR="001A2560">
        <w:t xml:space="preserve">Although </w:t>
      </w:r>
      <w:r w:rsidR="00364571">
        <w:t xml:space="preserve">this works represents a complex set of </w:t>
      </w:r>
      <w:r w:rsidR="00E06354">
        <w:t xml:space="preserve">inter-related </w:t>
      </w:r>
      <w:r w:rsidR="00364571">
        <w:t xml:space="preserve">projects and </w:t>
      </w:r>
      <w:r w:rsidR="00E06354">
        <w:t>involves a range of</w:t>
      </w:r>
      <w:r w:rsidR="003D3AB9">
        <w:t xml:space="preserve"> individuals</w:t>
      </w:r>
      <w:r w:rsidR="00364571">
        <w:t>, teams</w:t>
      </w:r>
      <w:r w:rsidR="003D3AB9">
        <w:t xml:space="preserve"> and partners</w:t>
      </w:r>
      <w:r w:rsidR="001A2560">
        <w:t xml:space="preserve"> the objectives driving deliver can be stated simply as</w:t>
      </w:r>
      <w:r w:rsidR="00E06354">
        <w:t>:</w:t>
      </w:r>
    </w:p>
    <w:p w14:paraId="5FF8CC25" w14:textId="77777777" w:rsidR="00A86C94" w:rsidRDefault="00A86C94" w:rsidP="00C1048E">
      <w:pPr>
        <w:pStyle w:val="ListParagraph"/>
        <w:numPr>
          <w:ilvl w:val="0"/>
          <w:numId w:val="17"/>
        </w:numPr>
      </w:pPr>
      <w:r>
        <w:t>Compliance with regulation and responsiveness to risk</w:t>
      </w:r>
    </w:p>
    <w:p w14:paraId="008EC847" w14:textId="77777777" w:rsidR="00A86C94" w:rsidRDefault="00A86C94" w:rsidP="00C1048E">
      <w:pPr>
        <w:pStyle w:val="ListParagraph"/>
        <w:numPr>
          <w:ilvl w:val="0"/>
          <w:numId w:val="17"/>
        </w:numPr>
      </w:pPr>
      <w:r>
        <w:t>Improving the quality of services delivered by the corporate asset function</w:t>
      </w:r>
    </w:p>
    <w:p w14:paraId="7CC1A489" w14:textId="77777777" w:rsidR="00A86C94" w:rsidRDefault="00A86C94" w:rsidP="00C1048E">
      <w:pPr>
        <w:pStyle w:val="ListParagraph"/>
        <w:numPr>
          <w:ilvl w:val="0"/>
          <w:numId w:val="17"/>
        </w:numPr>
      </w:pPr>
      <w:r>
        <w:t>Reducing expenditure associated with the Council’s assets</w:t>
      </w:r>
    </w:p>
    <w:p w14:paraId="177D0807" w14:textId="1DF6959E" w:rsidR="00E06354" w:rsidRDefault="003D3AB9" w:rsidP="00C1048E">
      <w:pPr>
        <w:pStyle w:val="ListParagraph"/>
        <w:numPr>
          <w:ilvl w:val="0"/>
          <w:numId w:val="17"/>
        </w:numPr>
      </w:pPr>
      <w:r>
        <w:t>Increasing the level of income generated by the Council’s assets</w:t>
      </w:r>
    </w:p>
    <w:p w14:paraId="30E6B606" w14:textId="77777777" w:rsidR="003D3AB9" w:rsidRDefault="003D3AB9" w:rsidP="003D3AB9"/>
    <w:p w14:paraId="0615EFAA" w14:textId="5339A9A2" w:rsidR="001A2560" w:rsidRDefault="00BF3432" w:rsidP="003D3AB9">
      <w:r w:rsidRPr="00E0717B">
        <w:t>Section 4 of this document takes</w:t>
      </w:r>
      <w:r w:rsidR="001A2560" w:rsidRPr="00E0717B">
        <w:t xml:space="preserve"> the specific work</w:t>
      </w:r>
      <w:r w:rsidR="008A26DA" w:rsidRPr="00E0717B">
        <w:t xml:space="preserve"> </w:t>
      </w:r>
      <w:r w:rsidR="001A2560" w:rsidRPr="00E0717B">
        <w:t xml:space="preserve">strands </w:t>
      </w:r>
      <w:r w:rsidR="008F5437" w:rsidRPr="00E0717B">
        <w:t xml:space="preserve">and projects </w:t>
      </w:r>
      <w:r w:rsidR="008A26DA" w:rsidRPr="00E0717B">
        <w:t>from the narrative below and set out the programme for delivery.</w:t>
      </w:r>
    </w:p>
    <w:p w14:paraId="25771845" w14:textId="77777777" w:rsidR="001A2560" w:rsidRDefault="001A2560" w:rsidP="003D3AB9"/>
    <w:p w14:paraId="66224613" w14:textId="3AC358C8" w:rsidR="00E06354" w:rsidRPr="00CB5BC4" w:rsidRDefault="003D3AB9" w:rsidP="00583E7B">
      <w:pPr>
        <w:rPr>
          <w:b/>
          <w:sz w:val="24"/>
          <w:szCs w:val="24"/>
        </w:rPr>
      </w:pPr>
      <w:r w:rsidRPr="00CB5BC4">
        <w:rPr>
          <w:b/>
          <w:sz w:val="24"/>
          <w:szCs w:val="24"/>
        </w:rPr>
        <w:t>3.2</w:t>
      </w:r>
      <w:r w:rsidRPr="00CB5BC4">
        <w:rPr>
          <w:b/>
          <w:sz w:val="24"/>
          <w:szCs w:val="24"/>
        </w:rPr>
        <w:tab/>
      </w:r>
      <w:r w:rsidR="005A6FA9">
        <w:rPr>
          <w:b/>
          <w:sz w:val="24"/>
          <w:szCs w:val="24"/>
        </w:rPr>
        <w:t>Effective management of assets</w:t>
      </w:r>
    </w:p>
    <w:p w14:paraId="0DF6F289" w14:textId="77777777" w:rsidR="003D3AB9" w:rsidRDefault="003D3AB9" w:rsidP="00583E7B"/>
    <w:p w14:paraId="73C1F390" w14:textId="48F2FDED" w:rsidR="008A26DA" w:rsidRDefault="00B82F85" w:rsidP="00980C9E">
      <w:r w:rsidRPr="00B82F85">
        <w:rPr>
          <w:bCs/>
        </w:rPr>
        <w:t>A fundamental priority for the Council has been to significantly strengthen the management of corporate assets</w:t>
      </w:r>
      <w:r>
        <w:rPr>
          <w:bCs/>
        </w:rPr>
        <w:t xml:space="preserve">.  </w:t>
      </w:r>
      <w:r w:rsidRPr="00B82F85">
        <w:rPr>
          <w:bCs/>
        </w:rPr>
        <w:t xml:space="preserve"> The foundations of this change include </w:t>
      </w:r>
      <w:r>
        <w:rPr>
          <w:bCs/>
        </w:rPr>
        <w:t xml:space="preserve">improving the </w:t>
      </w:r>
      <w:r w:rsidRPr="00B82F85">
        <w:rPr>
          <w:bCs/>
        </w:rPr>
        <w:t>robust</w:t>
      </w:r>
      <w:r>
        <w:rPr>
          <w:bCs/>
        </w:rPr>
        <w:t xml:space="preserve">ness of </w:t>
      </w:r>
      <w:r w:rsidRPr="00B82F85">
        <w:rPr>
          <w:bCs/>
        </w:rPr>
        <w:t>data and process</w:t>
      </w:r>
      <w:r>
        <w:rPr>
          <w:bCs/>
        </w:rPr>
        <w:t>es</w:t>
      </w:r>
      <w:r w:rsidRPr="00B82F85">
        <w:rPr>
          <w:bCs/>
        </w:rPr>
        <w:t>, increas</w:t>
      </w:r>
      <w:r>
        <w:rPr>
          <w:bCs/>
        </w:rPr>
        <w:t>ing</w:t>
      </w:r>
      <w:r w:rsidRPr="00B82F85">
        <w:rPr>
          <w:bCs/>
        </w:rPr>
        <w:t xml:space="preserve"> capacity and </w:t>
      </w:r>
      <w:r>
        <w:rPr>
          <w:bCs/>
        </w:rPr>
        <w:t xml:space="preserve">putting in place </w:t>
      </w:r>
      <w:r w:rsidRPr="00B82F85">
        <w:rPr>
          <w:bCs/>
        </w:rPr>
        <w:t>stronger governance and decision-making.</w:t>
      </w:r>
      <w:r>
        <w:rPr>
          <w:bCs/>
        </w:rPr>
        <w:t xml:space="preserve">  </w:t>
      </w:r>
      <w:r w:rsidR="008A26DA">
        <w:t xml:space="preserve"> This section describes the transformation in overall approach to assets that covers:</w:t>
      </w:r>
    </w:p>
    <w:p w14:paraId="497DDA42" w14:textId="77777777" w:rsidR="00A86C94" w:rsidRDefault="00A86C94" w:rsidP="00A86C94">
      <w:pPr>
        <w:pStyle w:val="ListParagraph"/>
        <w:numPr>
          <w:ilvl w:val="0"/>
          <w:numId w:val="1"/>
        </w:numPr>
      </w:pPr>
      <w:r>
        <w:t>Data capture, storage and analysis</w:t>
      </w:r>
    </w:p>
    <w:p w14:paraId="4D86A672" w14:textId="4F616725" w:rsidR="008A26DA" w:rsidRDefault="008A26DA" w:rsidP="008A26DA">
      <w:pPr>
        <w:pStyle w:val="ListParagraph"/>
        <w:numPr>
          <w:ilvl w:val="0"/>
          <w:numId w:val="1"/>
        </w:numPr>
      </w:pPr>
      <w:r>
        <w:t>Capacity and functions</w:t>
      </w:r>
    </w:p>
    <w:p w14:paraId="75622385" w14:textId="1391F99A" w:rsidR="008A26DA" w:rsidRDefault="008A26DA" w:rsidP="008A26DA">
      <w:pPr>
        <w:pStyle w:val="ListParagraph"/>
        <w:numPr>
          <w:ilvl w:val="0"/>
          <w:numId w:val="1"/>
        </w:numPr>
      </w:pPr>
      <w:r>
        <w:t>Estate management</w:t>
      </w:r>
    </w:p>
    <w:p w14:paraId="0CDBB6D3" w14:textId="31D36671" w:rsidR="00D37D48" w:rsidRDefault="00D37D48" w:rsidP="004843C1"/>
    <w:p w14:paraId="2D3383A1" w14:textId="77777777" w:rsidR="00D37D48" w:rsidRDefault="00D37D48" w:rsidP="004843C1"/>
    <w:p w14:paraId="45D9DA33" w14:textId="75A543B8" w:rsidR="001552BC" w:rsidRDefault="001552BC" w:rsidP="004843C1">
      <w:r>
        <w:t xml:space="preserve">Officers will report annually against delivery of the Strategic Asset Management Plan as part of an Annual Business Report covering delivery across the Regeneration and Asset Management Directorate.  An initial version of this </w:t>
      </w:r>
      <w:r>
        <w:lastRenderedPageBreak/>
        <w:t>Business Report was produced by Corporate Asset Services in June 2014 and the report covering 2014/15 is expected to be published in Quarter 2 of 2015/16.</w:t>
      </w:r>
    </w:p>
    <w:p w14:paraId="27BB098F" w14:textId="77777777" w:rsidR="001552BC" w:rsidRDefault="001552BC" w:rsidP="004843C1"/>
    <w:tbl>
      <w:tblPr>
        <w:tblStyle w:val="TableGrid"/>
        <w:tblW w:w="0" w:type="auto"/>
        <w:tblLook w:val="04A0" w:firstRow="1" w:lastRow="0" w:firstColumn="1" w:lastColumn="0" w:noHBand="0" w:noVBand="1"/>
      </w:tblPr>
      <w:tblGrid>
        <w:gridCol w:w="10682"/>
      </w:tblGrid>
      <w:tr w:rsidR="004843C1" w14:paraId="79E3FBB3" w14:textId="77777777" w:rsidTr="00B82F85">
        <w:tc>
          <w:tcPr>
            <w:tcW w:w="10682" w:type="dxa"/>
            <w:shd w:val="clear" w:color="auto" w:fill="A6A6A6" w:themeFill="background1" w:themeFillShade="A6"/>
          </w:tcPr>
          <w:p w14:paraId="576C990C" w14:textId="3B2445F2" w:rsidR="004843C1" w:rsidRPr="00364571" w:rsidRDefault="004843C1" w:rsidP="00B82F85">
            <w:r w:rsidRPr="00963A6B">
              <w:rPr>
                <w:b/>
                <w:highlight w:val="lightGray"/>
              </w:rPr>
              <w:t>3.2.</w:t>
            </w:r>
            <w:r>
              <w:rPr>
                <w:b/>
                <w:highlight w:val="lightGray"/>
              </w:rPr>
              <w:t>1</w:t>
            </w:r>
            <w:r>
              <w:rPr>
                <w:highlight w:val="lightGray"/>
              </w:rPr>
              <w:tab/>
            </w:r>
            <w:r w:rsidRPr="00364571">
              <w:rPr>
                <w:highlight w:val="lightGray"/>
              </w:rPr>
              <w:t>DATA CAPTURE, STORAGE AND ANALYSIS</w:t>
            </w:r>
          </w:p>
          <w:p w14:paraId="7C384024" w14:textId="77777777" w:rsidR="004843C1" w:rsidRPr="00555728" w:rsidRDefault="004843C1" w:rsidP="00B82F85">
            <w:pPr>
              <w:rPr>
                <w:highlight w:val="lightGray"/>
                <w:u w:val="single"/>
              </w:rPr>
            </w:pPr>
          </w:p>
          <w:p w14:paraId="15019CAB" w14:textId="77777777" w:rsidR="004843C1" w:rsidRDefault="004843C1" w:rsidP="00B82F85">
            <w:r w:rsidRPr="00364571">
              <w:rPr>
                <w:i/>
                <w:highlight w:val="lightGray"/>
              </w:rPr>
              <w:t>Embedding a corporate approach to asset-related data that is accurate, consistent and efficient</w:t>
            </w:r>
          </w:p>
        </w:tc>
      </w:tr>
    </w:tbl>
    <w:p w14:paraId="3A3BE8FB" w14:textId="77777777" w:rsidR="004843C1" w:rsidRDefault="004843C1" w:rsidP="004843C1"/>
    <w:p w14:paraId="02F136CA" w14:textId="77777777" w:rsidR="004843C1" w:rsidRPr="00CB5BC4" w:rsidRDefault="004843C1" w:rsidP="004843C1">
      <w:pPr>
        <w:rPr>
          <w:u w:val="single"/>
        </w:rPr>
      </w:pPr>
      <w:r>
        <w:rPr>
          <w:u w:val="single"/>
        </w:rPr>
        <w:t xml:space="preserve">(i) </w:t>
      </w:r>
      <w:r w:rsidRPr="00CB5BC4">
        <w:rPr>
          <w:u w:val="single"/>
        </w:rPr>
        <w:t>Implementation of a new A</w:t>
      </w:r>
      <w:r>
        <w:rPr>
          <w:u w:val="single"/>
        </w:rPr>
        <w:t xml:space="preserve">sset </w:t>
      </w:r>
      <w:r w:rsidRPr="00CB5BC4">
        <w:rPr>
          <w:u w:val="single"/>
        </w:rPr>
        <w:t>M</w:t>
      </w:r>
      <w:r>
        <w:rPr>
          <w:u w:val="single"/>
        </w:rPr>
        <w:t xml:space="preserve">anagement </w:t>
      </w:r>
      <w:r w:rsidRPr="00CB5BC4">
        <w:rPr>
          <w:u w:val="single"/>
        </w:rPr>
        <w:t>S</w:t>
      </w:r>
      <w:r>
        <w:rPr>
          <w:u w:val="single"/>
        </w:rPr>
        <w:t>ystem</w:t>
      </w:r>
    </w:p>
    <w:p w14:paraId="7ACF9E33" w14:textId="77777777" w:rsidR="004843C1" w:rsidRPr="00364571" w:rsidRDefault="004843C1" w:rsidP="004843C1"/>
    <w:p w14:paraId="09F4FAED" w14:textId="43ED9EF9" w:rsidR="004843C1" w:rsidRDefault="004843C1" w:rsidP="004843C1">
      <w:r w:rsidRPr="00364571">
        <w:t xml:space="preserve">Robust data management is at the heart of effective decision-making on assets.  The Council is implementing a new </w:t>
      </w:r>
      <w:r>
        <w:t>Asset Management System (</w:t>
      </w:r>
      <w:r w:rsidRPr="00364571">
        <w:t>AMS</w:t>
      </w:r>
      <w:r>
        <w:t>)</w:t>
      </w:r>
      <w:r w:rsidRPr="00364571">
        <w:t xml:space="preserve"> to hold data underpinned by consistent processes for collecting, reporting and responding to data management. </w:t>
      </w:r>
      <w:r>
        <w:t xml:space="preserve"> The AMS is a single repository for all property data, including plans, surveys, title deeds, mapping information, includes basic property information, maintenance and other works, financial information, utilities, environmental performance and change over time.  The AMS is also a platform to connect agreed work programmes for individuals and teams with agreed performance indicators.</w:t>
      </w:r>
    </w:p>
    <w:p w14:paraId="164B0BF9" w14:textId="77777777" w:rsidR="004843C1" w:rsidRDefault="004843C1" w:rsidP="004843C1"/>
    <w:p w14:paraId="581719EF" w14:textId="77777777" w:rsidR="004843C1" w:rsidRDefault="004843C1" w:rsidP="004843C1">
      <w:r>
        <w:t xml:space="preserve">The intention is that the AMS will incorporate all data held by the Council on assets, and as such it will be a corporate resource to be used to promote accountability and transparency.  </w:t>
      </w:r>
    </w:p>
    <w:p w14:paraId="094AD4CC" w14:textId="77777777" w:rsidR="004843C1" w:rsidRDefault="004843C1" w:rsidP="004843C1"/>
    <w:p w14:paraId="16D249F6" w14:textId="77777777" w:rsidR="004843C1" w:rsidRDefault="004843C1" w:rsidP="004843C1">
      <w:r>
        <w:t>The AMS will:</w:t>
      </w:r>
    </w:p>
    <w:p w14:paraId="1C6C3085" w14:textId="77777777" w:rsidR="004843C1" w:rsidRDefault="004843C1" w:rsidP="00C1048E">
      <w:pPr>
        <w:pStyle w:val="ListParagraph"/>
        <w:numPr>
          <w:ilvl w:val="0"/>
          <w:numId w:val="37"/>
        </w:numPr>
      </w:pPr>
      <w:r>
        <w:t>Maintain a complete and accurate property asset register</w:t>
      </w:r>
    </w:p>
    <w:p w14:paraId="7D8E2319" w14:textId="77777777" w:rsidR="004843C1" w:rsidRDefault="004843C1" w:rsidP="00C1048E">
      <w:pPr>
        <w:pStyle w:val="ListParagraph"/>
        <w:numPr>
          <w:ilvl w:val="0"/>
          <w:numId w:val="37"/>
        </w:numPr>
      </w:pPr>
      <w:r>
        <w:t>Support the continuous management and maintenance of the property asset base</w:t>
      </w:r>
    </w:p>
    <w:p w14:paraId="50E56C8B" w14:textId="77777777" w:rsidR="004843C1" w:rsidRDefault="004843C1" w:rsidP="00C1048E">
      <w:pPr>
        <w:pStyle w:val="ListParagraph"/>
        <w:numPr>
          <w:ilvl w:val="0"/>
          <w:numId w:val="37"/>
        </w:numPr>
      </w:pPr>
      <w:r>
        <w:t>Enable the Council to satisfy statutory and other reporting and compliance requirements</w:t>
      </w:r>
    </w:p>
    <w:p w14:paraId="0C81F115" w14:textId="77777777" w:rsidR="004843C1" w:rsidRDefault="004843C1" w:rsidP="00C1048E">
      <w:pPr>
        <w:pStyle w:val="ListParagraph"/>
        <w:numPr>
          <w:ilvl w:val="0"/>
          <w:numId w:val="37"/>
        </w:numPr>
      </w:pPr>
      <w:r>
        <w:t>Enable the implementation of performance across the asset portfolio</w:t>
      </w:r>
    </w:p>
    <w:p w14:paraId="700A6B46" w14:textId="77777777" w:rsidR="004843C1" w:rsidRDefault="004843C1" w:rsidP="00C1048E">
      <w:pPr>
        <w:pStyle w:val="ListParagraph"/>
        <w:numPr>
          <w:ilvl w:val="0"/>
          <w:numId w:val="37"/>
        </w:numPr>
      </w:pPr>
      <w:r>
        <w:t>Enable accuracy and timeliness in property assets reviews, appraisal, decision-making and planning</w:t>
      </w:r>
    </w:p>
    <w:p w14:paraId="5AC2428E" w14:textId="77777777" w:rsidR="004843C1" w:rsidRDefault="004843C1" w:rsidP="00C1048E">
      <w:pPr>
        <w:pStyle w:val="ListParagraph"/>
        <w:numPr>
          <w:ilvl w:val="0"/>
          <w:numId w:val="37"/>
        </w:numPr>
      </w:pPr>
      <w:r>
        <w:t>Provide a single corporate resource for managing assets</w:t>
      </w:r>
    </w:p>
    <w:p w14:paraId="6980319A" w14:textId="77777777" w:rsidR="004843C1" w:rsidRDefault="004843C1" w:rsidP="004843C1"/>
    <w:p w14:paraId="75FBCFFC" w14:textId="77777777" w:rsidR="004843C1" w:rsidRPr="006B716F" w:rsidRDefault="004843C1" w:rsidP="004843C1">
      <w:r w:rsidRPr="006B716F">
        <w:t xml:space="preserve">The AMS will </w:t>
      </w:r>
      <w:r>
        <w:t xml:space="preserve">also </w:t>
      </w:r>
      <w:r w:rsidRPr="006B716F">
        <w:t xml:space="preserve">include in-built processes that will enable a proactive rather than reactive approach to asset management. </w:t>
      </w:r>
      <w:r>
        <w:t xml:space="preserve">For example early notification from the system direct to the appropriate postholders that a lease will be coming to an end, allowing early negotiation and where relevant marketing to reduce void periods and maximise income. </w:t>
      </w:r>
    </w:p>
    <w:p w14:paraId="5866FE17" w14:textId="77777777" w:rsidR="004843C1" w:rsidRDefault="004843C1" w:rsidP="004843C1">
      <w:r w:rsidRPr="006B716F">
        <w:t xml:space="preserve"> </w:t>
      </w:r>
    </w:p>
    <w:p w14:paraId="022EA8D4" w14:textId="77777777" w:rsidR="004843C1" w:rsidRDefault="004843C1" w:rsidP="004843C1">
      <w:r>
        <w:t xml:space="preserve">The database has been designed and built by Lewisham Council, saving approximately £0.5m on the cost of procuring it from an external organisation.  This has allowed a bespoke product to be designed based on industry good practice but also responding to our own requirements .  The database went live in 2014, and includes all planned preventative maintenance and reactive maintenance.  It will take 18 months to 2 years to fully upload all the data that it is envisaged it can usefully use but the system can be developed in stages.  Wider data is now being migrated onto the system and staff are being trained on its use.  In 2015 the system will be extended to cover schools and it is planned that staff from other directorates, including in particular schools estates and legal will be using the system.  </w:t>
      </w:r>
    </w:p>
    <w:p w14:paraId="530F72C7" w14:textId="77777777" w:rsidR="004843C1" w:rsidRDefault="004843C1" w:rsidP="004843C1"/>
    <w:p w14:paraId="2C20CC06" w14:textId="77777777" w:rsidR="004843C1" w:rsidRPr="00CB5BC4" w:rsidRDefault="004843C1" w:rsidP="004843C1">
      <w:pPr>
        <w:rPr>
          <w:u w:val="single"/>
        </w:rPr>
      </w:pPr>
      <w:r>
        <w:rPr>
          <w:u w:val="single"/>
        </w:rPr>
        <w:t xml:space="preserve">(ii) </w:t>
      </w:r>
      <w:r w:rsidRPr="00CB5BC4">
        <w:rPr>
          <w:u w:val="single"/>
        </w:rPr>
        <w:t xml:space="preserve">Data Management </w:t>
      </w:r>
      <w:r>
        <w:rPr>
          <w:u w:val="single"/>
        </w:rPr>
        <w:t>Systems</w:t>
      </w:r>
    </w:p>
    <w:p w14:paraId="013FDE92" w14:textId="77777777" w:rsidR="004843C1" w:rsidRDefault="004843C1" w:rsidP="004843C1"/>
    <w:p w14:paraId="0A4A3918" w14:textId="47E95B6F" w:rsidR="004843C1" w:rsidRDefault="004843C1" w:rsidP="004843C1">
      <w:pPr>
        <w:rPr>
          <w:rFonts w:asciiTheme="minorHAnsi" w:eastAsia="Times New Roman" w:hAnsiTheme="minorHAnsi" w:cstheme="minorHAnsi"/>
        </w:rPr>
      </w:pPr>
      <w:r w:rsidRPr="00CA4278">
        <w:rPr>
          <w:rFonts w:asciiTheme="minorHAnsi" w:eastAsia="Times New Roman" w:hAnsiTheme="minorHAnsi" w:cstheme="minorHAnsi"/>
        </w:rPr>
        <w:t>Any information system is only as good as the data that goes into it.</w:t>
      </w:r>
      <w:r>
        <w:rPr>
          <w:rFonts w:asciiTheme="minorHAnsi" w:eastAsia="Times New Roman" w:hAnsiTheme="minorHAnsi" w:cstheme="minorHAnsi"/>
        </w:rPr>
        <w:t xml:space="preserve">  A new Data Management Handbook is being implemented to support the AMS and ensure that, corporately, information is being captured, stored and monitored on a systematic and efficient basis.  This work is essential part of effective decision-making and the overall management of the estate.</w:t>
      </w:r>
    </w:p>
    <w:p w14:paraId="5C7D0E15" w14:textId="77777777" w:rsidR="004843C1" w:rsidRDefault="004843C1" w:rsidP="004843C1">
      <w:pPr>
        <w:rPr>
          <w:rFonts w:asciiTheme="minorHAnsi" w:eastAsia="Times New Roman" w:hAnsiTheme="minorHAnsi" w:cstheme="minorHAnsi"/>
        </w:rPr>
      </w:pPr>
    </w:p>
    <w:p w14:paraId="44922218" w14:textId="77777777" w:rsidR="004843C1" w:rsidRDefault="004843C1" w:rsidP="004843C1">
      <w:pPr>
        <w:rPr>
          <w:rFonts w:asciiTheme="minorHAnsi" w:eastAsia="Times New Roman" w:hAnsiTheme="minorHAnsi" w:cstheme="minorHAnsi"/>
        </w:rPr>
      </w:pPr>
      <w:r>
        <w:rPr>
          <w:rFonts w:asciiTheme="minorHAnsi" w:eastAsia="Times New Roman" w:hAnsiTheme="minorHAnsi" w:cstheme="minorHAnsi"/>
        </w:rPr>
        <w:t>The Handbook sets out the required business processes for managing flows of data and will ensure greater accountability for data and transparency about information.</w:t>
      </w:r>
    </w:p>
    <w:p w14:paraId="3532C870" w14:textId="77777777" w:rsidR="004843C1" w:rsidRDefault="004843C1" w:rsidP="004843C1">
      <w:pPr>
        <w:rPr>
          <w:rFonts w:asciiTheme="minorHAnsi" w:eastAsia="Times New Roman" w:hAnsiTheme="minorHAnsi" w:cstheme="minorHAnsi"/>
        </w:rPr>
      </w:pPr>
    </w:p>
    <w:p w14:paraId="1B48D139" w14:textId="77777777" w:rsidR="004843C1" w:rsidRDefault="004843C1" w:rsidP="004843C1">
      <w:pPr>
        <w:rPr>
          <w:rFonts w:asciiTheme="minorHAnsi" w:eastAsia="Times New Roman" w:hAnsiTheme="minorHAnsi" w:cstheme="minorHAnsi"/>
        </w:rPr>
      </w:pPr>
      <w:r>
        <w:rPr>
          <w:rFonts w:asciiTheme="minorHAnsi" w:eastAsia="Times New Roman" w:hAnsiTheme="minorHAnsi" w:cstheme="minorHAnsi"/>
        </w:rPr>
        <w:t>The Data Management Handbook will set out a formal structure for data to ensure that data is properly managed and effective systems are in place to confirm compliance and standards.</w:t>
      </w:r>
    </w:p>
    <w:p w14:paraId="0166C2B2" w14:textId="3CBBA0D7" w:rsidR="00B82F85" w:rsidRDefault="00B82F85" w:rsidP="004843C1">
      <w:pPr>
        <w:rPr>
          <w:rFonts w:asciiTheme="minorHAnsi" w:eastAsia="Times New Roman" w:hAnsiTheme="minorHAnsi" w:cstheme="minorHAnsi"/>
        </w:rPr>
      </w:pPr>
    </w:p>
    <w:p w14:paraId="47239FF0" w14:textId="6870A40A" w:rsidR="00B82F85" w:rsidRDefault="00B82F85" w:rsidP="004843C1">
      <w:pPr>
        <w:rPr>
          <w:rFonts w:asciiTheme="minorHAnsi" w:eastAsia="Times New Roman" w:hAnsiTheme="minorHAnsi" w:cstheme="minorHAnsi"/>
        </w:rPr>
      </w:pPr>
      <w:r>
        <w:rPr>
          <w:rFonts w:asciiTheme="minorHAnsi" w:eastAsia="Times New Roman" w:hAnsiTheme="minorHAnsi" w:cstheme="minorHAnsi"/>
        </w:rPr>
        <w:lastRenderedPageBreak/>
        <w:t xml:space="preserve">The quality of data held on corporate assets has been significantly improved, demonstrated by the agreement of a new asset register and ongoing reviews across the commercial portfolio.  Ensuring we hold and maintain accurate information at the appropriate level of detail is central to ensuring compliance with statutory requirements and effective management of risk as well as enabling assets to be part of a high quality service offer and taking opportunities for cost reduction and increased income where they arise. </w:t>
      </w:r>
    </w:p>
    <w:p w14:paraId="1FC870E3" w14:textId="77777777" w:rsidR="00A86C94" w:rsidRPr="008A26DA" w:rsidRDefault="00A86C94" w:rsidP="00A86C94"/>
    <w:tbl>
      <w:tblPr>
        <w:tblStyle w:val="TableGrid"/>
        <w:tblW w:w="0" w:type="auto"/>
        <w:tblLook w:val="04A0" w:firstRow="1" w:lastRow="0" w:firstColumn="1" w:lastColumn="0" w:noHBand="0" w:noVBand="1"/>
      </w:tblPr>
      <w:tblGrid>
        <w:gridCol w:w="10682"/>
      </w:tblGrid>
      <w:tr w:rsidR="00A86C94" w14:paraId="0F70447F" w14:textId="77777777" w:rsidTr="00A86C94">
        <w:tc>
          <w:tcPr>
            <w:tcW w:w="10682" w:type="dxa"/>
            <w:shd w:val="clear" w:color="auto" w:fill="A6A6A6" w:themeFill="background1" w:themeFillShade="A6"/>
          </w:tcPr>
          <w:p w14:paraId="7796BC33" w14:textId="3EFC10FC" w:rsidR="00A86C94" w:rsidRPr="00364571" w:rsidRDefault="00A86C94" w:rsidP="00A86C94">
            <w:pPr>
              <w:rPr>
                <w:highlight w:val="lightGray"/>
              </w:rPr>
            </w:pPr>
            <w:r w:rsidRPr="00963A6B">
              <w:rPr>
                <w:b/>
                <w:highlight w:val="lightGray"/>
              </w:rPr>
              <w:t>3.2.</w:t>
            </w:r>
            <w:r w:rsidR="00D278F3">
              <w:rPr>
                <w:b/>
                <w:highlight w:val="lightGray"/>
              </w:rPr>
              <w:t>2</w:t>
            </w:r>
            <w:r>
              <w:rPr>
                <w:highlight w:val="lightGray"/>
              </w:rPr>
              <w:t xml:space="preserve"> </w:t>
            </w:r>
            <w:r>
              <w:rPr>
                <w:highlight w:val="lightGray"/>
              </w:rPr>
              <w:tab/>
            </w:r>
            <w:r w:rsidRPr="00364571">
              <w:rPr>
                <w:highlight w:val="lightGray"/>
              </w:rPr>
              <w:t>CAPACITY AND FUNCTIONS</w:t>
            </w:r>
          </w:p>
          <w:p w14:paraId="6CBEF8F8" w14:textId="77777777" w:rsidR="00A86C94" w:rsidRPr="00364571" w:rsidRDefault="00A86C94" w:rsidP="00A86C94">
            <w:pPr>
              <w:rPr>
                <w:highlight w:val="lightGray"/>
              </w:rPr>
            </w:pPr>
          </w:p>
          <w:p w14:paraId="6C3D86FB" w14:textId="483070F3" w:rsidR="00A86C94" w:rsidRPr="00A86C94" w:rsidRDefault="00A86C94" w:rsidP="00583E7B">
            <w:pPr>
              <w:rPr>
                <w:i/>
              </w:rPr>
            </w:pPr>
            <w:r w:rsidRPr="00364571">
              <w:rPr>
                <w:i/>
                <w:highlight w:val="lightGray"/>
              </w:rPr>
              <w:t>Creating the right alignment of resource within the Council to manage assets effectively and efficiency</w:t>
            </w:r>
          </w:p>
        </w:tc>
      </w:tr>
    </w:tbl>
    <w:p w14:paraId="44D621B5" w14:textId="77777777" w:rsidR="008A26DA" w:rsidRDefault="008A26DA" w:rsidP="00583E7B"/>
    <w:p w14:paraId="52568C6C" w14:textId="0C602A31" w:rsidR="00845C7E" w:rsidRPr="00CB5BC4" w:rsidRDefault="00E87616" w:rsidP="00CB5BC4">
      <w:pPr>
        <w:rPr>
          <w:u w:val="single"/>
        </w:rPr>
      </w:pPr>
      <w:r>
        <w:rPr>
          <w:u w:val="single"/>
        </w:rPr>
        <w:t xml:space="preserve">(i) </w:t>
      </w:r>
      <w:r w:rsidR="00845C7E" w:rsidRPr="00CB5BC4">
        <w:rPr>
          <w:u w:val="single"/>
        </w:rPr>
        <w:t xml:space="preserve">Reorganisation of the Council’s Corporate Asset Services within Regeneration and Asset Management </w:t>
      </w:r>
    </w:p>
    <w:p w14:paraId="48CA81B2" w14:textId="7904814D" w:rsidR="005F311C" w:rsidRDefault="005F311C" w:rsidP="005F311C">
      <w:pPr>
        <w:pStyle w:val="ListParagraph"/>
        <w:ind w:left="1080"/>
      </w:pPr>
    </w:p>
    <w:p w14:paraId="5EB6A0A5" w14:textId="7A4B2D2A" w:rsidR="005F311C" w:rsidRPr="005F311C" w:rsidRDefault="005F311C" w:rsidP="005F311C">
      <w:r w:rsidRPr="005F311C">
        <w:t>Corporate Asset Services is being re</w:t>
      </w:r>
      <w:r w:rsidR="00511677">
        <w:t xml:space="preserve">configured </w:t>
      </w:r>
      <w:r w:rsidRPr="005F311C">
        <w:t>as part of a wider reorganisation of Regeneration and Asset Management division.  A key focus of this reorganisation is to ensure a more commercial and outcome focussed approach through the use of an intelligent client model, commissioning, monitoring and managing delivery rather than self-delivery.</w:t>
      </w:r>
    </w:p>
    <w:p w14:paraId="1F3DCEFB" w14:textId="77777777" w:rsidR="005F311C" w:rsidRPr="005F311C" w:rsidRDefault="005F311C" w:rsidP="005F311C"/>
    <w:p w14:paraId="213A4263" w14:textId="2D0436D4" w:rsidR="005F311C" w:rsidRDefault="005F311C" w:rsidP="00BE3A35">
      <w:r w:rsidRPr="005F311C">
        <w:t>Th</w:t>
      </w:r>
      <w:r w:rsidR="00D278F3">
        <w:t>e</w:t>
      </w:r>
      <w:r w:rsidRPr="005F311C">
        <w:t xml:space="preserve"> reorganisation </w:t>
      </w:r>
      <w:r w:rsidR="00D278F3">
        <w:t xml:space="preserve">will contribute to the wider reduction in costs needed by the Council but </w:t>
      </w:r>
      <w:r w:rsidRPr="005F311C">
        <w:t xml:space="preserve">is also an opportunity to establish better structures and embed the skills needed to manage the Council’s assets delivering the agenda set out in this Strategic Asset Management Plan.  </w:t>
      </w:r>
      <w:r w:rsidR="00BE3A35">
        <w:t xml:space="preserve">The reorganisation will redraw the lines between in-house capacity and functions outsourced for delivery. </w:t>
      </w:r>
      <w:r w:rsidR="00BE3A35" w:rsidRPr="005F311C">
        <w:t xml:space="preserve"> </w:t>
      </w:r>
      <w:r w:rsidR="00D278F3">
        <w:t>The intention is to create a smaller, more flexible ‘</w:t>
      </w:r>
      <w:r w:rsidRPr="005F311C">
        <w:t>intelligent client</w:t>
      </w:r>
      <w:r w:rsidR="00D278F3">
        <w:t>’</w:t>
      </w:r>
      <w:r w:rsidRPr="005F311C">
        <w:t xml:space="preserve"> model </w:t>
      </w:r>
      <w:r w:rsidR="00D278F3">
        <w:t xml:space="preserve">able to </w:t>
      </w:r>
      <w:r w:rsidRPr="005F311C">
        <w:t xml:space="preserve">provide a more resilient structure, better able to respond to changing demands and more focussed in a way that will support cross-disciplinary teams, proper programme and project management and effective corporate systems. </w:t>
      </w:r>
    </w:p>
    <w:p w14:paraId="0D7C72DA" w14:textId="77777777" w:rsidR="001675B8" w:rsidRDefault="001675B8" w:rsidP="001675B8"/>
    <w:p w14:paraId="4C281FCF" w14:textId="22F3F4D2" w:rsidR="001675B8" w:rsidRDefault="001675B8" w:rsidP="00BE3A35">
      <w:r>
        <w:t>Changes on this scale represent a risk</w:t>
      </w:r>
      <w:r w:rsidR="006B716F">
        <w:t xml:space="preserve"> to the overall programme</w:t>
      </w:r>
      <w:r>
        <w:t>, and it is fundamental to achieving the objectives of this Strategic As</w:t>
      </w:r>
      <w:r w:rsidR="006B716F">
        <w:t xml:space="preserve">set Management Plan that there </w:t>
      </w:r>
      <w:r>
        <w:t>s</w:t>
      </w:r>
      <w:r w:rsidR="006B716F">
        <w:t>hould be</w:t>
      </w:r>
      <w:r>
        <w:t xml:space="preserve"> sufficient capacity and expertise to </w:t>
      </w:r>
      <w:r w:rsidR="006B716F">
        <w:t xml:space="preserve">maintain </w:t>
      </w:r>
      <w:r>
        <w:t>deliver</w:t>
      </w:r>
      <w:r w:rsidR="006B716F">
        <w:t>y</w:t>
      </w:r>
      <w:r>
        <w:t xml:space="preserve"> and </w:t>
      </w:r>
      <w:r w:rsidRPr="004005D2">
        <w:t xml:space="preserve">that information and decision making </w:t>
      </w:r>
      <w:r w:rsidR="006B716F" w:rsidRPr="004005D2">
        <w:t xml:space="preserve">are </w:t>
      </w:r>
      <w:r w:rsidRPr="004005D2">
        <w:t>properly aligned</w:t>
      </w:r>
      <w:r w:rsidR="006B716F" w:rsidRPr="004005D2">
        <w:t xml:space="preserve"> with the rest of the Council</w:t>
      </w:r>
      <w:r w:rsidRPr="004005D2">
        <w:t>.  Section 3.2.</w:t>
      </w:r>
      <w:r w:rsidR="00511677" w:rsidRPr="004005D2">
        <w:t>1</w:t>
      </w:r>
      <w:r w:rsidRPr="004005D2">
        <w:t xml:space="preserve"> on data capture, storage and analysis is an essential part of this</w:t>
      </w:r>
      <w:r w:rsidR="006B716F" w:rsidRPr="004005D2">
        <w:t>,</w:t>
      </w:r>
      <w:r w:rsidRPr="004005D2">
        <w:t xml:space="preserve"> as are the governance arrangements described in section 3.2.4.  The potential impact of the reorganisation is also identified in 4.3 the risk section of the chapter on delivery.</w:t>
      </w:r>
      <w:r>
        <w:t xml:space="preserve"> </w:t>
      </w:r>
    </w:p>
    <w:p w14:paraId="781AEFEC" w14:textId="77777777" w:rsidR="005F311C" w:rsidRPr="005F311C" w:rsidRDefault="005F311C" w:rsidP="005F311C"/>
    <w:p w14:paraId="7A2F583E" w14:textId="16E7E5C2" w:rsidR="00845C7E" w:rsidRPr="00CB5BC4" w:rsidRDefault="00E87616" w:rsidP="00CB5BC4">
      <w:pPr>
        <w:rPr>
          <w:u w:val="single"/>
        </w:rPr>
      </w:pPr>
      <w:r>
        <w:rPr>
          <w:u w:val="single"/>
        </w:rPr>
        <w:t xml:space="preserve">(ii) </w:t>
      </w:r>
      <w:r w:rsidR="00845C7E" w:rsidRPr="00CB5BC4">
        <w:rPr>
          <w:u w:val="single"/>
        </w:rPr>
        <w:t xml:space="preserve">Backlog clearance </w:t>
      </w:r>
    </w:p>
    <w:p w14:paraId="1C056D73" w14:textId="77777777" w:rsidR="00980C9E" w:rsidRDefault="00980C9E" w:rsidP="00583E7B"/>
    <w:p w14:paraId="207C4AB3" w14:textId="19E3424E" w:rsidR="00980C9E" w:rsidRDefault="006B716F" w:rsidP="00583E7B">
      <w:r>
        <w:t>In recent years s</w:t>
      </w:r>
      <w:r w:rsidR="00980C9E">
        <w:t>ystems and capacity within the Council’s corporate asset function have not met dema</w:t>
      </w:r>
      <w:r w:rsidR="00E7052D">
        <w:t xml:space="preserve">nds on the service and this </w:t>
      </w:r>
      <w:r w:rsidR="00980C9E">
        <w:t>resulted in a backlog of case work and administrative functions that built up over some time.  This backlog of work exist</w:t>
      </w:r>
      <w:r w:rsidR="00E7052D">
        <w:t>ed</w:t>
      </w:r>
      <w:r w:rsidR="00980C9E">
        <w:t xml:space="preserve"> in a number of areas including</w:t>
      </w:r>
      <w:r w:rsidR="00E7052D">
        <w:t>:</w:t>
      </w:r>
    </w:p>
    <w:p w14:paraId="64BD6916" w14:textId="48BC286E" w:rsidR="00FD798E" w:rsidRDefault="00FD798E" w:rsidP="00C1048E">
      <w:pPr>
        <w:pStyle w:val="ListParagraph"/>
        <w:numPr>
          <w:ilvl w:val="0"/>
          <w:numId w:val="21"/>
        </w:numPr>
      </w:pPr>
      <w:r>
        <w:t>Complaints and correspondence</w:t>
      </w:r>
    </w:p>
    <w:p w14:paraId="442E168B" w14:textId="05820B6A" w:rsidR="00FD798E" w:rsidRDefault="00E7052D" w:rsidP="00C1048E">
      <w:pPr>
        <w:pStyle w:val="ListParagraph"/>
        <w:numPr>
          <w:ilvl w:val="0"/>
          <w:numId w:val="21"/>
        </w:numPr>
      </w:pPr>
      <w:r>
        <w:t>Income c</w:t>
      </w:r>
      <w:r w:rsidR="00980C9E">
        <w:t>ollection</w:t>
      </w:r>
    </w:p>
    <w:p w14:paraId="45DE29C4" w14:textId="3DC6CF64" w:rsidR="00FD798E" w:rsidRDefault="00980C9E" w:rsidP="00C1048E">
      <w:pPr>
        <w:pStyle w:val="ListParagraph"/>
        <w:numPr>
          <w:ilvl w:val="0"/>
          <w:numId w:val="21"/>
        </w:numPr>
      </w:pPr>
      <w:r>
        <w:t>Rent reviews</w:t>
      </w:r>
      <w:r w:rsidR="00E7052D">
        <w:t xml:space="preserve"> </w:t>
      </w:r>
    </w:p>
    <w:p w14:paraId="68FC9AAD" w14:textId="669F6097" w:rsidR="00E7052D" w:rsidRDefault="00E7052D" w:rsidP="00C1048E">
      <w:pPr>
        <w:pStyle w:val="ListParagraph"/>
        <w:numPr>
          <w:ilvl w:val="0"/>
          <w:numId w:val="21"/>
        </w:numPr>
      </w:pPr>
      <w:r>
        <w:t>Valuations</w:t>
      </w:r>
    </w:p>
    <w:p w14:paraId="4A3ECF31" w14:textId="35C39103" w:rsidR="00E7052D" w:rsidRDefault="00E7052D" w:rsidP="00C1048E">
      <w:pPr>
        <w:pStyle w:val="ListParagraph"/>
        <w:numPr>
          <w:ilvl w:val="0"/>
          <w:numId w:val="21"/>
        </w:numPr>
      </w:pPr>
      <w:r>
        <w:t>New leases and licences</w:t>
      </w:r>
    </w:p>
    <w:p w14:paraId="35FC93EC" w14:textId="5D7DD876" w:rsidR="00E7052D" w:rsidRDefault="00E7052D" w:rsidP="00C1048E">
      <w:pPr>
        <w:pStyle w:val="ListParagraph"/>
        <w:numPr>
          <w:ilvl w:val="0"/>
          <w:numId w:val="21"/>
        </w:numPr>
      </w:pPr>
      <w:r>
        <w:t>Disposals</w:t>
      </w:r>
    </w:p>
    <w:p w14:paraId="3453BE92" w14:textId="77777777" w:rsidR="00FD798E" w:rsidRDefault="00FD798E" w:rsidP="00583E7B"/>
    <w:p w14:paraId="58639BB7" w14:textId="3C61E748" w:rsidR="00F37062" w:rsidRDefault="00E7052D" w:rsidP="005F311C">
      <w:r>
        <w:t>Addressing this backlog has been a priority in 2014 with additional capacity in the short-term in a number of areas to reduce the build-up of case work.  However, in some cases, making progress in one area can create pressure elsewhere: for example completing rent reviews, particularly if these increase the income the Council expects</w:t>
      </w:r>
      <w:r w:rsidR="00BF3432">
        <w:t>,</w:t>
      </w:r>
      <w:r>
        <w:t xml:space="preserve"> can give rise to additional correspondence and complaints.   The critical issue going forward will be to ensure sufficient </w:t>
      </w:r>
      <w:r w:rsidRPr="004005D2">
        <w:t>capacity is maintained but also that the Council has the correct systems in place to receive, assess and respond to casework in the most efficient way.</w:t>
      </w:r>
      <w:r w:rsidR="006B716F" w:rsidRPr="004005D2">
        <w:t xml:space="preserve">  This will be a key issue for the reorganisation</w:t>
      </w:r>
      <w:r w:rsidR="00BF3432" w:rsidRPr="004005D2">
        <w:t>,</w:t>
      </w:r>
      <w:r w:rsidR="006B716F" w:rsidRPr="004005D2">
        <w:t xml:space="preserve"> </w:t>
      </w:r>
      <w:r w:rsidR="00BF3432" w:rsidRPr="004005D2">
        <w:t xml:space="preserve">section </w:t>
      </w:r>
      <w:r w:rsidR="006B716F" w:rsidRPr="004005D2">
        <w:t>3.2.</w:t>
      </w:r>
      <w:r w:rsidR="005056A6" w:rsidRPr="004005D2">
        <w:t>2</w:t>
      </w:r>
      <w:r w:rsidR="006B716F" w:rsidRPr="004005D2">
        <w:t xml:space="preserve"> (i)</w:t>
      </w:r>
      <w:r w:rsidR="00D278F3" w:rsidRPr="004005D2">
        <w:t xml:space="preserve"> </w:t>
      </w:r>
      <w:r w:rsidR="006B716F" w:rsidRPr="004005D2">
        <w:t>and data management systems</w:t>
      </w:r>
      <w:r w:rsidR="00BF3432" w:rsidRPr="004005D2">
        <w:t xml:space="preserve">, section </w:t>
      </w:r>
      <w:r w:rsidR="006B716F" w:rsidRPr="004005D2">
        <w:t>3.2.</w:t>
      </w:r>
      <w:r w:rsidR="00AE0DC5" w:rsidRPr="004005D2">
        <w:t>1</w:t>
      </w:r>
      <w:r w:rsidR="006B716F" w:rsidRPr="004005D2">
        <w:t xml:space="preserve"> (ii).</w:t>
      </w:r>
    </w:p>
    <w:p w14:paraId="12F28DA6" w14:textId="77777777" w:rsidR="00F37062" w:rsidRDefault="00F37062">
      <w:pPr>
        <w:spacing w:after="200" w:line="276" w:lineRule="auto"/>
      </w:pPr>
      <w:r>
        <w:br w:type="page"/>
      </w:r>
    </w:p>
    <w:p w14:paraId="463A0F18" w14:textId="77777777" w:rsidR="00FC2A19" w:rsidRPr="00D278F3" w:rsidRDefault="00FC2A19" w:rsidP="005F311C"/>
    <w:p w14:paraId="0E105A54" w14:textId="77777777" w:rsidR="00F314C7" w:rsidRDefault="00F314C7" w:rsidP="00470E00">
      <w:pPr>
        <w:rPr>
          <w:u w:val="single"/>
        </w:rPr>
      </w:pPr>
    </w:p>
    <w:tbl>
      <w:tblPr>
        <w:tblStyle w:val="TableGrid"/>
        <w:tblW w:w="0" w:type="auto"/>
        <w:tblLook w:val="04A0" w:firstRow="1" w:lastRow="0" w:firstColumn="1" w:lastColumn="0" w:noHBand="0" w:noVBand="1"/>
      </w:tblPr>
      <w:tblGrid>
        <w:gridCol w:w="10682"/>
      </w:tblGrid>
      <w:tr w:rsidR="00A86C94" w14:paraId="21600B37" w14:textId="77777777" w:rsidTr="00A86C94">
        <w:tc>
          <w:tcPr>
            <w:tcW w:w="10682" w:type="dxa"/>
            <w:shd w:val="clear" w:color="auto" w:fill="A6A6A6" w:themeFill="background1" w:themeFillShade="A6"/>
          </w:tcPr>
          <w:p w14:paraId="6CDD254F" w14:textId="77777777" w:rsidR="00A86C94" w:rsidRPr="00555728" w:rsidRDefault="00A86C94" w:rsidP="00A86C94">
            <w:pPr>
              <w:rPr>
                <w:highlight w:val="lightGray"/>
              </w:rPr>
            </w:pPr>
            <w:r w:rsidRPr="00963A6B">
              <w:rPr>
                <w:b/>
                <w:highlight w:val="lightGray"/>
              </w:rPr>
              <w:t>3.2.3</w:t>
            </w:r>
            <w:r>
              <w:rPr>
                <w:highlight w:val="lightGray"/>
              </w:rPr>
              <w:tab/>
            </w:r>
            <w:r w:rsidRPr="00555728">
              <w:rPr>
                <w:highlight w:val="lightGray"/>
              </w:rPr>
              <w:t>ESTATE MANAGEMENT</w:t>
            </w:r>
          </w:p>
          <w:p w14:paraId="7AED419B" w14:textId="77777777" w:rsidR="00A86C94" w:rsidRPr="00555728" w:rsidRDefault="00A86C94" w:rsidP="00A86C94">
            <w:pPr>
              <w:rPr>
                <w:highlight w:val="lightGray"/>
                <w:u w:val="single"/>
              </w:rPr>
            </w:pPr>
          </w:p>
          <w:p w14:paraId="5C64C82B" w14:textId="5128E242" w:rsidR="00A86C94" w:rsidRPr="00A86C94" w:rsidRDefault="00A86C94" w:rsidP="00470E00">
            <w:pPr>
              <w:rPr>
                <w:i/>
                <w:highlight w:val="lightGray"/>
              </w:rPr>
            </w:pPr>
            <w:r w:rsidRPr="00E61491">
              <w:rPr>
                <w:i/>
                <w:highlight w:val="lightGray"/>
              </w:rPr>
              <w:t>Using the Council’s assets strategically to create value and managing the estate in a transparent and consistent way</w:t>
            </w:r>
          </w:p>
        </w:tc>
      </w:tr>
    </w:tbl>
    <w:p w14:paraId="1823348C" w14:textId="77777777" w:rsidR="000D6828" w:rsidRDefault="000D6828" w:rsidP="00470E00">
      <w:pPr>
        <w:rPr>
          <w:u w:val="single"/>
        </w:rPr>
      </w:pPr>
    </w:p>
    <w:p w14:paraId="6C727C58" w14:textId="298DDEBB" w:rsidR="0065116A" w:rsidRPr="00CB5BC4" w:rsidRDefault="00E87616" w:rsidP="0065116A">
      <w:pPr>
        <w:rPr>
          <w:u w:val="single"/>
        </w:rPr>
      </w:pPr>
      <w:r>
        <w:rPr>
          <w:u w:val="single"/>
        </w:rPr>
        <w:t xml:space="preserve">(i) </w:t>
      </w:r>
      <w:r w:rsidR="00D278F3">
        <w:rPr>
          <w:u w:val="single"/>
        </w:rPr>
        <w:t xml:space="preserve">Classification </w:t>
      </w:r>
      <w:r w:rsidR="0065116A" w:rsidRPr="00CB5BC4">
        <w:rPr>
          <w:u w:val="single"/>
        </w:rPr>
        <w:t>of assets</w:t>
      </w:r>
    </w:p>
    <w:p w14:paraId="7F19253D" w14:textId="77777777" w:rsidR="0065116A" w:rsidRDefault="0065116A" w:rsidP="0065116A"/>
    <w:p w14:paraId="02B69D4F" w14:textId="77777777" w:rsidR="0065116A" w:rsidRDefault="0065116A" w:rsidP="0065116A">
      <w:r>
        <w:t xml:space="preserve">The development of the current Asset Register in 2014 highlighted the need for a more rigorous approach to the classification of assets and for this to be aligned with a more transparent, consistent and focussed determination of use across operational and commercial </w:t>
      </w:r>
      <w:r w:rsidRPr="005B724A">
        <w:t>assets</w:t>
      </w:r>
    </w:p>
    <w:p w14:paraId="32BD94D3" w14:textId="77777777" w:rsidR="0065116A" w:rsidRDefault="0065116A" w:rsidP="0065116A"/>
    <w:p w14:paraId="2E03342E" w14:textId="77777777" w:rsidR="0065116A" w:rsidRPr="00CB5BC4" w:rsidRDefault="0065116A" w:rsidP="0065116A">
      <w:pPr>
        <w:rPr>
          <w:bCs/>
        </w:rPr>
      </w:pPr>
      <w:r>
        <w:rPr>
          <w:bCs/>
        </w:rPr>
        <w:t>The outcome of this work is intended to remove the unclassified category and for all assets to be managed as</w:t>
      </w:r>
      <w:r w:rsidRPr="00CB5BC4">
        <w:rPr>
          <w:bCs/>
        </w:rPr>
        <w:t xml:space="preserve"> either operational or commercial. This work is expected to eliminate uncertainty about use, ensure adequate compliance with statutory obligations and allocate resource according to the value of its use.  The current use of many of these buildings is however long-established, often with organisations providing valued services strongly connected to the area and with limited resources to afford commercial rents.  </w:t>
      </w:r>
    </w:p>
    <w:p w14:paraId="4BF584CE" w14:textId="77777777" w:rsidR="0065116A" w:rsidRPr="00CB5BC4" w:rsidRDefault="0065116A" w:rsidP="0065116A">
      <w:pPr>
        <w:rPr>
          <w:bCs/>
        </w:rPr>
      </w:pPr>
    </w:p>
    <w:p w14:paraId="24F4A03D" w14:textId="76747C69" w:rsidR="0065116A" w:rsidRPr="00CB5BC4" w:rsidRDefault="0065116A" w:rsidP="0065116A">
      <w:pPr>
        <w:rPr>
          <w:bCs/>
        </w:rPr>
      </w:pPr>
      <w:r w:rsidRPr="00CB5BC4">
        <w:rPr>
          <w:bCs/>
        </w:rPr>
        <w:t xml:space="preserve">The transition of the current ad hoc arrangements that have developed over a long period to a transparent allocation of resource based on operational and commercial principles will be difficult and is expected to take up to </w:t>
      </w:r>
      <w:r w:rsidRPr="00AF5BE2">
        <w:rPr>
          <w:bCs/>
        </w:rPr>
        <w:t xml:space="preserve">five years to complete.  </w:t>
      </w:r>
      <w:r w:rsidR="009B1970" w:rsidRPr="00AF5BE2">
        <w:rPr>
          <w:bCs/>
        </w:rPr>
        <w:t xml:space="preserve">The section </w:t>
      </w:r>
      <w:r w:rsidRPr="00AF5BE2">
        <w:rPr>
          <w:bCs/>
        </w:rPr>
        <w:t xml:space="preserve">below </w:t>
      </w:r>
      <w:r w:rsidR="009B1970" w:rsidRPr="00AF5BE2">
        <w:rPr>
          <w:bCs/>
        </w:rPr>
        <w:t xml:space="preserve">on ‘Third sector and community assets’ </w:t>
      </w:r>
      <w:r w:rsidRPr="00AF5BE2">
        <w:rPr>
          <w:bCs/>
        </w:rPr>
        <w:t>summarises an agreed protocol</w:t>
      </w:r>
      <w:r w:rsidRPr="00CB5BC4">
        <w:rPr>
          <w:bCs/>
        </w:rPr>
        <w:t xml:space="preserve"> on third sector organisations and community assets designed to provide the basis for achieving this transition in a consistent and fair way that takes proper account of the value of the services being delivered.</w:t>
      </w:r>
    </w:p>
    <w:p w14:paraId="57B40FFD" w14:textId="02AB6267" w:rsidR="0065116A" w:rsidRPr="00CB5BC4" w:rsidRDefault="00A851D4" w:rsidP="0065116A">
      <w:pPr>
        <w:rPr>
          <w:bCs/>
        </w:rPr>
      </w:pPr>
      <w:r w:rsidRPr="00470E00">
        <w:rPr>
          <w:noProof/>
          <w:lang w:eastAsia="en-GB"/>
        </w:rPr>
        <w:drawing>
          <wp:anchor distT="0" distB="0" distL="114300" distR="114300" simplePos="0" relativeHeight="251664384" behindDoc="0" locked="0" layoutInCell="1" allowOverlap="1" wp14:anchorId="5E7325DF" wp14:editId="03EAC1FE">
            <wp:simplePos x="0" y="0"/>
            <wp:positionH relativeFrom="column">
              <wp:posOffset>4086225</wp:posOffset>
            </wp:positionH>
            <wp:positionV relativeFrom="paragraph">
              <wp:posOffset>-2540</wp:posOffset>
            </wp:positionV>
            <wp:extent cx="2527300" cy="3571875"/>
            <wp:effectExtent l="0" t="0" r="6350" b="9525"/>
            <wp:wrapSquare wrapText="bothSides"/>
            <wp:docPr id="4" name="Picture 4" descr="C:\Users\Mobrien\AppData\Local\Microsoft\Windows\Temporary Internet Files\Content.Outlook\GUEQYPHO\Borough_into_6_area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brien\AppData\Local\Microsoft\Windows\Temporary Internet Files\Content.Outlook\GUEQYPHO\Borough_into_6_areas_smal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7300"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E3CDF" w14:textId="5CA64CA6" w:rsidR="00D278F3" w:rsidRPr="006F3343" w:rsidRDefault="00D278F3" w:rsidP="00D278F3">
      <w:r w:rsidRPr="006F3343">
        <w:t xml:space="preserve">Ensuring value for money in the management of assets is a fundamental part of the approach.  </w:t>
      </w:r>
      <w:r>
        <w:t xml:space="preserve">Establishing clarity through removing unclassified assets, putting in place the </w:t>
      </w:r>
      <w:r w:rsidRPr="006F3343">
        <w:t xml:space="preserve">AMS </w:t>
      </w:r>
      <w:r>
        <w:t xml:space="preserve">and the implementation of </w:t>
      </w:r>
      <w:r w:rsidR="00F37062">
        <w:t>‘</w:t>
      </w:r>
      <w:r>
        <w:t>Urban Files</w:t>
      </w:r>
      <w:r w:rsidR="00F37062">
        <w:t>’</w:t>
      </w:r>
      <w:r>
        <w:t xml:space="preserve"> </w:t>
      </w:r>
      <w:r w:rsidRPr="006F3343">
        <w:t xml:space="preserve">will allow the Council to set up assets so that they can </w:t>
      </w:r>
      <w:r>
        <w:t xml:space="preserve">clearly show income and expenditure at the level of individual sites, geographical areas, types of properties and </w:t>
      </w:r>
      <w:r w:rsidRPr="006F3343">
        <w:t xml:space="preserve">the overall corporate estate as a whole.  This </w:t>
      </w:r>
      <w:r>
        <w:t xml:space="preserve">will be </w:t>
      </w:r>
      <w:r w:rsidRPr="006F3343">
        <w:t>a powerful tool for managing across the estate at a macro and micro level.</w:t>
      </w:r>
    </w:p>
    <w:p w14:paraId="05085624" w14:textId="77777777" w:rsidR="004A2509" w:rsidRDefault="004A2509" w:rsidP="00470E00">
      <w:pPr>
        <w:rPr>
          <w:u w:val="single"/>
        </w:rPr>
      </w:pPr>
    </w:p>
    <w:p w14:paraId="5909C337" w14:textId="2058409C" w:rsidR="00470E00" w:rsidRPr="00CB5BC4" w:rsidRDefault="00E87616" w:rsidP="00470E00">
      <w:pPr>
        <w:rPr>
          <w:u w:val="single"/>
        </w:rPr>
      </w:pPr>
      <w:r>
        <w:rPr>
          <w:u w:val="single"/>
        </w:rPr>
        <w:t xml:space="preserve">(ii) </w:t>
      </w:r>
      <w:r w:rsidR="00F37062">
        <w:rPr>
          <w:u w:val="single"/>
        </w:rPr>
        <w:t>‘</w:t>
      </w:r>
      <w:r w:rsidR="00470E00" w:rsidRPr="00CB5BC4">
        <w:rPr>
          <w:u w:val="single"/>
        </w:rPr>
        <w:t>Urban Files</w:t>
      </w:r>
      <w:r w:rsidR="00F37062">
        <w:rPr>
          <w:u w:val="single"/>
        </w:rPr>
        <w:t>’</w:t>
      </w:r>
    </w:p>
    <w:p w14:paraId="66930B4A" w14:textId="77777777" w:rsidR="00470E00" w:rsidRPr="00470E00" w:rsidRDefault="00470E00" w:rsidP="00470E00"/>
    <w:p w14:paraId="32250ED1" w14:textId="41F52F82" w:rsidR="00470E00" w:rsidRPr="00470E00" w:rsidRDefault="00470E00" w:rsidP="00470E00">
      <w:r w:rsidRPr="00470E00">
        <w:t xml:space="preserve">As a result of the revised Asset Register and improvements to systems for collecting and storing data across the property function the Council has a significantly broader range of information about properties.  One of the ways this information will be utilised will be in the creation of </w:t>
      </w:r>
      <w:r w:rsidR="00F37062">
        <w:t>‘</w:t>
      </w:r>
      <w:r w:rsidRPr="00470E00">
        <w:t>Urban Files</w:t>
      </w:r>
      <w:r w:rsidR="00F37062">
        <w:t>’</w:t>
      </w:r>
      <w:r w:rsidRPr="00470E00">
        <w:t xml:space="preserve">, allowing complex and detailed information to be stored and accessed at a spatial level. </w:t>
      </w:r>
    </w:p>
    <w:p w14:paraId="52B64835" w14:textId="77777777" w:rsidR="00470E00" w:rsidRPr="00470E00" w:rsidRDefault="00470E00" w:rsidP="00470E00"/>
    <w:p w14:paraId="35FD02C1" w14:textId="77777777" w:rsidR="00470E00" w:rsidRPr="00470E00" w:rsidRDefault="00470E00" w:rsidP="00470E00">
      <w:r w:rsidRPr="00470E00">
        <w:t>The borough has been split into six sub areas with ‘soft’ boundaries to ensure that local characteristics can be taken into consideration.  These areas are based on existing strategic planning areas, including those for primary school places.</w:t>
      </w:r>
    </w:p>
    <w:p w14:paraId="465F765D" w14:textId="77777777" w:rsidR="00470E00" w:rsidRPr="00470E00" w:rsidRDefault="00470E00" w:rsidP="00470E00"/>
    <w:p w14:paraId="574C95DD" w14:textId="3D56F6B0" w:rsidR="00470E00" w:rsidRPr="00470E00" w:rsidRDefault="00470E00" w:rsidP="00470E00">
      <w:r w:rsidRPr="00470E00">
        <w:t xml:space="preserve">An </w:t>
      </w:r>
      <w:r w:rsidR="00F37062">
        <w:t>‘</w:t>
      </w:r>
      <w:r w:rsidRPr="00470E00">
        <w:t>Urban File</w:t>
      </w:r>
      <w:r w:rsidR="00F37062">
        <w:t>’</w:t>
      </w:r>
      <w:r w:rsidRPr="00470E00">
        <w:t xml:space="preserve"> will be created for each of the 6 sub areas providing an overview of current and future relationships between Council properties and other developments and prominent properties in the area, and will include mapping and data from a range of formats from internal and external sources.  The </w:t>
      </w:r>
      <w:r w:rsidR="00F37062">
        <w:t>‘</w:t>
      </w:r>
      <w:r w:rsidRPr="00470E00">
        <w:t>Urban Files</w:t>
      </w:r>
      <w:r w:rsidR="00F37062">
        <w:t>’</w:t>
      </w:r>
      <w:r w:rsidRPr="00470E00">
        <w:t xml:space="preserve"> will be used to review use of properties and the potential inter-relationships between different sites.  The </w:t>
      </w:r>
      <w:r w:rsidR="006718A6" w:rsidRPr="00470E00">
        <w:t xml:space="preserve">creation of </w:t>
      </w:r>
      <w:r w:rsidR="00F37062">
        <w:t>‘</w:t>
      </w:r>
      <w:r w:rsidR="006718A6" w:rsidRPr="00470E00">
        <w:t>Urban Files</w:t>
      </w:r>
      <w:r w:rsidR="00F37062">
        <w:t>’</w:t>
      </w:r>
      <w:r w:rsidR="006718A6" w:rsidRPr="00470E00">
        <w:t xml:space="preserve"> is</w:t>
      </w:r>
      <w:r w:rsidRPr="00470E00">
        <w:t xml:space="preserve"> expected to provide a benchmark for the Council to look forward from a base point and develop 5-10 year plans. </w:t>
      </w:r>
    </w:p>
    <w:p w14:paraId="301E3573" w14:textId="77777777" w:rsidR="00470E00" w:rsidRPr="00470E00" w:rsidRDefault="00470E00" w:rsidP="00470E00"/>
    <w:p w14:paraId="08DB41AC" w14:textId="538991FB" w:rsidR="00470E00" w:rsidRPr="00470E00" w:rsidRDefault="00555728" w:rsidP="00470E00">
      <w:r>
        <w:lastRenderedPageBreak/>
        <w:t xml:space="preserve">The </w:t>
      </w:r>
      <w:r w:rsidR="00F37062">
        <w:t>‘</w:t>
      </w:r>
      <w:r>
        <w:t>Urban Files</w:t>
      </w:r>
      <w:r w:rsidR="00F37062">
        <w:t>’</w:t>
      </w:r>
      <w:r>
        <w:t xml:space="preserve"> will form part of the </w:t>
      </w:r>
      <w:r w:rsidR="00470E00" w:rsidRPr="00470E00">
        <w:t>AMS</w:t>
      </w:r>
      <w:r>
        <w:t xml:space="preserve"> system and can be used to generate an area-based assessment of profit and loss, creating a balance sheet that can be used to assess and enhance the corporate portfolio. </w:t>
      </w:r>
    </w:p>
    <w:p w14:paraId="65A2C30C" w14:textId="77777777" w:rsidR="00470E00" w:rsidRDefault="00470E00" w:rsidP="00470E00"/>
    <w:p w14:paraId="7EE3A8CE" w14:textId="304DA136" w:rsidR="00183B93" w:rsidRPr="00641E67" w:rsidRDefault="00E87616" w:rsidP="00183B93">
      <w:r>
        <w:rPr>
          <w:u w:val="single"/>
        </w:rPr>
        <w:t>(i</w:t>
      </w:r>
      <w:r w:rsidR="0079036A">
        <w:rPr>
          <w:u w:val="single"/>
        </w:rPr>
        <w:t>ii</w:t>
      </w:r>
      <w:r>
        <w:rPr>
          <w:u w:val="single"/>
        </w:rPr>
        <w:t xml:space="preserve">) </w:t>
      </w:r>
      <w:r w:rsidR="00183B93" w:rsidRPr="00183B93">
        <w:rPr>
          <w:u w:val="single"/>
        </w:rPr>
        <w:t xml:space="preserve">Third sector and community assets </w:t>
      </w:r>
    </w:p>
    <w:p w14:paraId="7ECFD700" w14:textId="77777777" w:rsidR="00183B93" w:rsidRPr="005B724A" w:rsidRDefault="00183B93" w:rsidP="00183B93"/>
    <w:p w14:paraId="1989FADA" w14:textId="77777777" w:rsidR="00822204" w:rsidRDefault="00822204" w:rsidP="00822204">
      <w:r w:rsidRPr="00822204">
        <w:t>The voluntary and community sector (VCS) play a</w:t>
      </w:r>
      <w:r>
        <w:t xml:space="preserve"> vital </w:t>
      </w:r>
      <w:r w:rsidRPr="00822204">
        <w:t xml:space="preserve">role in Lewisham, delivering services, advice and guidance to our residents. The council is firmly committed to supporting the VCS in the borough and </w:t>
      </w:r>
      <w:r>
        <w:t xml:space="preserve">the management and use of the Council’s </w:t>
      </w:r>
      <w:r w:rsidRPr="00822204">
        <w:t xml:space="preserve">asset base </w:t>
      </w:r>
      <w:r>
        <w:t>is one of the ways to a</w:t>
      </w:r>
      <w:r w:rsidRPr="00822204">
        <w:t xml:space="preserve">chieve this.  </w:t>
      </w:r>
      <w:r>
        <w:t xml:space="preserve">Section 3.3 below sets out the Accomodation Strategy, which describes the overarching approach proposed to reshaping the corporate portfolio of assets. A central part of this will be to support a set of operational buildings that responds to service delivery requirements and the financial pressures faced by the Council. </w:t>
      </w:r>
    </w:p>
    <w:p w14:paraId="2ACD0202" w14:textId="77777777" w:rsidR="00822204" w:rsidRDefault="00822204" w:rsidP="00822204"/>
    <w:p w14:paraId="196334AD" w14:textId="77777777" w:rsidR="00822204" w:rsidRPr="00822204" w:rsidRDefault="00822204" w:rsidP="00822204">
      <w:r w:rsidRPr="00822204">
        <w:t xml:space="preserve">There are currently 41 council assets within the community premises portfolio including 23 community centres, 3 sports grounds and 15 buildings housing VCS organisations.  In addition there are other properties that are used as community libraries and early years provision as well as a range of other services commissioned from VCS organisations that are not part of the community premises portfolio but are within the wider council asset register.  </w:t>
      </w:r>
    </w:p>
    <w:p w14:paraId="0DE88D05" w14:textId="77777777" w:rsidR="00822204" w:rsidRPr="00822204" w:rsidRDefault="00822204" w:rsidP="00822204"/>
    <w:p w14:paraId="2D76A6D3" w14:textId="13157C11" w:rsidR="00822204" w:rsidRPr="00822204" w:rsidRDefault="00822204" w:rsidP="00822204">
      <w:r w:rsidRPr="00822204">
        <w:t xml:space="preserve">The Council has historically had varied arrangements in place for letting council owned assets to VCS organisations; particularly in relation to lease terms, building repair responsibilities and grant funding. </w:t>
      </w:r>
      <w:r w:rsidR="00CD2ADE">
        <w:t xml:space="preserve"> </w:t>
      </w:r>
      <w:r w:rsidR="00374BDC">
        <w:t xml:space="preserve">While this has given </w:t>
      </w:r>
      <w:r w:rsidR="00CD2ADE">
        <w:t>flexibility to respond to different circumstances i</w:t>
      </w:r>
      <w:r w:rsidRPr="00822204">
        <w:t xml:space="preserve">t has </w:t>
      </w:r>
      <w:r w:rsidR="00374BDC">
        <w:t>also r</w:t>
      </w:r>
      <w:r w:rsidRPr="00822204">
        <w:t xml:space="preserve">esulted in a piecemeal </w:t>
      </w:r>
      <w:r w:rsidR="00374BDC">
        <w:t xml:space="preserve">and inconsistent </w:t>
      </w:r>
      <w:r w:rsidRPr="00822204">
        <w:t>approach</w:t>
      </w:r>
      <w:r w:rsidR="00374BDC">
        <w:t>.</w:t>
      </w:r>
    </w:p>
    <w:p w14:paraId="0DFBC728" w14:textId="77777777" w:rsidR="003A5181" w:rsidRDefault="003A5181" w:rsidP="003A5181"/>
    <w:p w14:paraId="534E4571" w14:textId="77777777" w:rsidR="003A5181" w:rsidRPr="00822204" w:rsidRDefault="003A5181" w:rsidP="003A5181">
      <w:r>
        <w:t>The C</w:t>
      </w:r>
      <w:r w:rsidRPr="00822204">
        <w:t xml:space="preserve">ouncil recognises </w:t>
      </w:r>
      <w:r>
        <w:t xml:space="preserve">that </w:t>
      </w:r>
      <w:r w:rsidRPr="00822204">
        <w:t xml:space="preserve">being able to access property at affordable rates is very important to the continued success of VCS organisations.  This needs to be balanced </w:t>
      </w:r>
      <w:r>
        <w:t xml:space="preserve">against other demands for available resources.  It is therefore important to be able to make decisions on the use of corporate buildings and allocate resources in an </w:t>
      </w:r>
      <w:r w:rsidRPr="00822204">
        <w:t>open and transparent</w:t>
      </w:r>
      <w:r>
        <w:t xml:space="preserve"> way.</w:t>
      </w:r>
      <w:r w:rsidRPr="00822204">
        <w:t xml:space="preserve">  </w:t>
      </w:r>
    </w:p>
    <w:p w14:paraId="7BE9B0BF" w14:textId="77777777" w:rsidR="007E6243" w:rsidRDefault="007E6243" w:rsidP="00822204"/>
    <w:p w14:paraId="6047BD86" w14:textId="4F2E9A14" w:rsidR="00374BDC" w:rsidRDefault="00374BDC" w:rsidP="00822204">
      <w:r>
        <w:t>To achieve this the Council is currently consulting on a new approach to decision-making on the use of corporate assets  by the VCS.  The consultation proposes</w:t>
      </w:r>
      <w:r w:rsidR="007E6243">
        <w:t xml:space="preserve"> the following categories of requirement</w:t>
      </w:r>
    </w:p>
    <w:p w14:paraId="68DD97BE" w14:textId="77777777" w:rsidR="00374BDC" w:rsidRPr="00B875B1" w:rsidRDefault="00374BDC" w:rsidP="00374BDC">
      <w:pPr>
        <w:ind w:left="709" w:hanging="709"/>
        <w:rPr>
          <w:rFonts w:asciiTheme="minorHAnsi" w:hAnsiTheme="minorHAnsi" w:cstheme="minorHAnsi"/>
        </w:rPr>
      </w:pPr>
    </w:p>
    <w:p w14:paraId="05837247" w14:textId="77777777" w:rsidR="007E6243" w:rsidRDefault="007E6243" w:rsidP="00C1048E">
      <w:pPr>
        <w:pStyle w:val="ListParagraph"/>
        <w:numPr>
          <w:ilvl w:val="0"/>
          <w:numId w:val="50"/>
        </w:numPr>
      </w:pPr>
      <w:r w:rsidRPr="007E6243">
        <w:rPr>
          <w:rFonts w:asciiTheme="minorHAnsi" w:hAnsiTheme="minorHAnsi" w:cstheme="minorHAnsi"/>
        </w:rPr>
        <w:t xml:space="preserve">Subsidised used of an corporate building to deliver </w:t>
      </w:r>
      <w:r>
        <w:rPr>
          <w:rFonts w:asciiTheme="minorHAnsi" w:hAnsiTheme="minorHAnsi" w:cstheme="minorHAnsi"/>
        </w:rPr>
        <w:t xml:space="preserve">defined </w:t>
      </w:r>
      <w:r w:rsidRPr="007E6243">
        <w:rPr>
          <w:rFonts w:asciiTheme="minorHAnsi" w:hAnsiTheme="minorHAnsi" w:cstheme="minorHAnsi"/>
        </w:rPr>
        <w:t xml:space="preserve">service requirements.  ‘VCS hubs’ would be expected to provide affordable rents </w:t>
      </w:r>
      <w:r>
        <w:t xml:space="preserve">for office and meeting space.  In a few cases where there is an identified need for specialist facilities this may include sole use of a building. </w:t>
      </w:r>
    </w:p>
    <w:p w14:paraId="2D701869" w14:textId="77777777" w:rsidR="007E6243" w:rsidRPr="007E6243" w:rsidRDefault="007E6243" w:rsidP="00C1048E">
      <w:pPr>
        <w:pStyle w:val="ListParagraph"/>
        <w:numPr>
          <w:ilvl w:val="0"/>
          <w:numId w:val="50"/>
        </w:numPr>
      </w:pPr>
      <w:r w:rsidRPr="007E6243">
        <w:rPr>
          <w:rFonts w:asciiTheme="minorHAnsi" w:hAnsiTheme="minorHAnsi" w:cstheme="minorHAnsi"/>
        </w:rPr>
        <w:t>Neighbourhood-based facilities (‘Community Centres’)</w:t>
      </w:r>
      <w:r w:rsidR="00374BDC" w:rsidRPr="007E6243">
        <w:rPr>
          <w:rFonts w:asciiTheme="minorHAnsi" w:hAnsiTheme="minorHAnsi" w:cstheme="minorHAnsi"/>
        </w:rPr>
        <w:t xml:space="preserve"> with activity space predominantly geared to providing services at a neighbourhood level.  As the number of centres is rationalised we will be working to reduce the overall financial burden to the council and put in place </w:t>
      </w:r>
      <w:r w:rsidRPr="007E6243">
        <w:rPr>
          <w:rFonts w:asciiTheme="minorHAnsi" w:hAnsiTheme="minorHAnsi" w:cstheme="minorHAnsi"/>
        </w:rPr>
        <w:t xml:space="preserve">consistent </w:t>
      </w:r>
      <w:r w:rsidR="00374BDC" w:rsidRPr="007E6243">
        <w:rPr>
          <w:rFonts w:asciiTheme="minorHAnsi" w:hAnsiTheme="minorHAnsi" w:cstheme="minorHAnsi"/>
        </w:rPr>
        <w:t>arrangements across the portfolio</w:t>
      </w:r>
      <w:r w:rsidRPr="007E6243">
        <w:rPr>
          <w:rFonts w:asciiTheme="minorHAnsi" w:hAnsiTheme="minorHAnsi" w:cstheme="minorHAnsi"/>
        </w:rPr>
        <w:t xml:space="preserve"> in relation to leases and charging</w:t>
      </w:r>
      <w:r w:rsidR="00374BDC" w:rsidRPr="007E6243">
        <w:rPr>
          <w:rFonts w:asciiTheme="minorHAnsi" w:hAnsiTheme="minorHAnsi" w:cstheme="minorHAnsi"/>
        </w:rPr>
        <w:t>.</w:t>
      </w:r>
    </w:p>
    <w:p w14:paraId="3AB86A18" w14:textId="0C52E960" w:rsidR="007E6243" w:rsidRPr="006A1FDC" w:rsidRDefault="007E6243" w:rsidP="00C1048E">
      <w:pPr>
        <w:pStyle w:val="ListParagraph"/>
        <w:numPr>
          <w:ilvl w:val="0"/>
          <w:numId w:val="50"/>
        </w:numPr>
      </w:pPr>
      <w:r w:rsidRPr="007E6243">
        <w:rPr>
          <w:rFonts w:asciiTheme="minorHAnsi" w:hAnsiTheme="minorHAnsi" w:cstheme="minorHAnsi"/>
        </w:rPr>
        <w:t xml:space="preserve">Sole occupancy of a building at full market rate – larger VCS organisations that can afford to pay full market rates or who are not delivering services that meet </w:t>
      </w:r>
      <w:r>
        <w:rPr>
          <w:rFonts w:asciiTheme="minorHAnsi" w:hAnsiTheme="minorHAnsi" w:cstheme="minorHAnsi"/>
        </w:rPr>
        <w:t xml:space="preserve">identified </w:t>
      </w:r>
      <w:r w:rsidRPr="007E6243">
        <w:rPr>
          <w:rFonts w:asciiTheme="minorHAnsi" w:hAnsiTheme="minorHAnsi" w:cstheme="minorHAnsi"/>
        </w:rPr>
        <w:t xml:space="preserve">priorities </w:t>
      </w:r>
      <w:r>
        <w:rPr>
          <w:rFonts w:asciiTheme="minorHAnsi" w:hAnsiTheme="minorHAnsi" w:cstheme="minorHAnsi"/>
        </w:rPr>
        <w:t xml:space="preserve">will </w:t>
      </w:r>
      <w:r w:rsidRPr="007E6243">
        <w:rPr>
          <w:rFonts w:asciiTheme="minorHAnsi" w:hAnsiTheme="minorHAnsi" w:cstheme="minorHAnsi"/>
        </w:rPr>
        <w:t>be able to access buildings on the council’s standard terms and conditions.</w:t>
      </w:r>
    </w:p>
    <w:p w14:paraId="63CFB534" w14:textId="77777777" w:rsidR="006A1FDC" w:rsidRPr="006A1FDC" w:rsidRDefault="006A1FDC" w:rsidP="006A1FDC">
      <w:pPr>
        <w:pStyle w:val="ListParagraph"/>
        <w:ind w:left="360"/>
      </w:pPr>
    </w:p>
    <w:p w14:paraId="65ED67C3" w14:textId="1B8F9650" w:rsidR="006A1FDC" w:rsidRDefault="006A1FDC">
      <w:pPr>
        <w:spacing w:after="200" w:line="276" w:lineRule="auto"/>
        <w:rPr>
          <w:rFonts w:asciiTheme="minorHAnsi" w:hAnsiTheme="minorHAnsi" w:cstheme="minorHAnsi"/>
        </w:rPr>
      </w:pPr>
      <w:r>
        <w:rPr>
          <w:rFonts w:asciiTheme="minorHAnsi" w:hAnsiTheme="minorHAnsi" w:cstheme="minorHAnsi"/>
        </w:rPr>
        <w:t>The outcome of the consultation will be used to inform decision-making on the Council’s assets as part of the asset optimisation work set out below.</w:t>
      </w:r>
    </w:p>
    <w:p w14:paraId="40DF421B" w14:textId="0764A270" w:rsidR="00B875B1" w:rsidRPr="007E6243" w:rsidRDefault="00B875B1" w:rsidP="007E6243">
      <w:pPr>
        <w:spacing w:after="200" w:line="276" w:lineRule="auto"/>
        <w:contextualSpacing/>
        <w:rPr>
          <w:rFonts w:asciiTheme="minorHAnsi" w:hAnsiTheme="minorHAnsi" w:cstheme="minorHAnsi"/>
        </w:rPr>
      </w:pPr>
    </w:p>
    <w:p w14:paraId="798CC75B" w14:textId="77777777" w:rsidR="00BC3E86" w:rsidRDefault="00BC3E86">
      <w:r>
        <w:br w:type="page"/>
      </w:r>
    </w:p>
    <w:tbl>
      <w:tblPr>
        <w:tblStyle w:val="TableGrid"/>
        <w:tblW w:w="0" w:type="auto"/>
        <w:tblLook w:val="04A0" w:firstRow="1" w:lastRow="0" w:firstColumn="1" w:lastColumn="0" w:noHBand="0" w:noVBand="1"/>
      </w:tblPr>
      <w:tblGrid>
        <w:gridCol w:w="10682"/>
      </w:tblGrid>
      <w:tr w:rsidR="00A86C94" w14:paraId="109E891D" w14:textId="77777777" w:rsidTr="00A86C94">
        <w:tc>
          <w:tcPr>
            <w:tcW w:w="10682" w:type="dxa"/>
            <w:shd w:val="clear" w:color="auto" w:fill="A6A6A6" w:themeFill="background1" w:themeFillShade="A6"/>
          </w:tcPr>
          <w:p w14:paraId="187AE503" w14:textId="673F116F" w:rsidR="00A86C94" w:rsidRPr="00CB5BC4" w:rsidRDefault="00A86C94" w:rsidP="00A86C94">
            <w:r w:rsidRPr="00963A6B">
              <w:rPr>
                <w:b/>
                <w:highlight w:val="lightGray"/>
              </w:rPr>
              <w:lastRenderedPageBreak/>
              <w:t>3.2.4</w:t>
            </w:r>
            <w:r>
              <w:rPr>
                <w:highlight w:val="lightGray"/>
              </w:rPr>
              <w:tab/>
            </w:r>
            <w:r w:rsidRPr="00784980">
              <w:rPr>
                <w:highlight w:val="lightGray"/>
              </w:rPr>
              <w:t>GOVERNANCE AND PARTNERSHIPS</w:t>
            </w:r>
          </w:p>
          <w:p w14:paraId="3DB0704B" w14:textId="77777777" w:rsidR="00A86C94" w:rsidRDefault="00A86C94" w:rsidP="00A86C94">
            <w:pPr>
              <w:rPr>
                <w:b/>
              </w:rPr>
            </w:pPr>
          </w:p>
          <w:p w14:paraId="62EBF18D" w14:textId="4E7CC2D8" w:rsidR="00A86C94" w:rsidRPr="00A86C94" w:rsidRDefault="00A86C94" w:rsidP="000F64C3">
            <w:r w:rsidRPr="00E61491">
              <w:rPr>
                <w:i/>
                <w:highlight w:val="lightGray"/>
              </w:rPr>
              <w:t>A corporate approach to assets that promotes delivery through planning, partnership and collaboration</w:t>
            </w:r>
          </w:p>
        </w:tc>
      </w:tr>
    </w:tbl>
    <w:p w14:paraId="5F521EA6" w14:textId="77777777" w:rsidR="00A86C94" w:rsidRDefault="00A86C94" w:rsidP="000F64C3">
      <w:pPr>
        <w:rPr>
          <w:u w:val="single"/>
        </w:rPr>
      </w:pPr>
    </w:p>
    <w:p w14:paraId="17C38146" w14:textId="253BD211" w:rsidR="00D55E4E" w:rsidRPr="00D55E4E" w:rsidRDefault="00D55E4E" w:rsidP="00D55E4E">
      <w:pPr>
        <w:rPr>
          <w:rFonts w:eastAsia="Calibri"/>
        </w:rPr>
      </w:pPr>
      <w:r w:rsidRPr="00D55E4E">
        <w:rPr>
          <w:rFonts w:eastAsia="Calibri"/>
        </w:rPr>
        <w:t xml:space="preserve">The Chief Executive has overall responsibility for all property asset management matters in the Council. </w:t>
      </w:r>
    </w:p>
    <w:p w14:paraId="42430FDB" w14:textId="77777777" w:rsidR="00D55E4E" w:rsidRPr="00D55E4E" w:rsidRDefault="00D55E4E" w:rsidP="00D55E4E">
      <w:pPr>
        <w:rPr>
          <w:rFonts w:eastAsia="Calibri"/>
        </w:rPr>
      </w:pPr>
    </w:p>
    <w:p w14:paraId="3051E668" w14:textId="066AC54C" w:rsidR="00D55E4E" w:rsidRPr="00D55E4E" w:rsidRDefault="00D55E4E" w:rsidP="00D55E4E">
      <w:pPr>
        <w:rPr>
          <w:rFonts w:eastAsia="Calibri"/>
        </w:rPr>
      </w:pPr>
      <w:r w:rsidRPr="00D55E4E">
        <w:rPr>
          <w:rFonts w:eastAsia="Calibri"/>
        </w:rPr>
        <w:t>The Chief Executive and E</w:t>
      </w:r>
      <w:r w:rsidR="005B1E5E">
        <w:rPr>
          <w:rFonts w:eastAsia="Calibri"/>
        </w:rPr>
        <w:t xml:space="preserve">xecutive </w:t>
      </w:r>
      <w:r w:rsidRPr="00D55E4E">
        <w:rPr>
          <w:rFonts w:eastAsia="Calibri"/>
        </w:rPr>
        <w:t>M</w:t>
      </w:r>
      <w:r w:rsidR="005B1E5E">
        <w:rPr>
          <w:rFonts w:eastAsia="Calibri"/>
        </w:rPr>
        <w:t xml:space="preserve">anagement </w:t>
      </w:r>
      <w:r w:rsidRPr="00D55E4E">
        <w:rPr>
          <w:rFonts w:eastAsia="Calibri"/>
        </w:rPr>
        <w:t>T</w:t>
      </w:r>
      <w:r w:rsidR="005B1E5E">
        <w:rPr>
          <w:rFonts w:eastAsia="Calibri"/>
        </w:rPr>
        <w:t>eam</w:t>
      </w:r>
      <w:r w:rsidRPr="00D55E4E">
        <w:rPr>
          <w:rFonts w:eastAsia="Calibri"/>
        </w:rPr>
        <w:t xml:space="preserve"> have nominated Heads of Service to discharge their responsibilities as “responsible person” in relation to the occupancy and use of the buildings occupied by their staff and to liaise with Corporate Asset Services Manager to ensure compliance.</w:t>
      </w:r>
    </w:p>
    <w:p w14:paraId="5100E0B2" w14:textId="77777777" w:rsidR="00D55E4E" w:rsidRPr="00D55E4E" w:rsidRDefault="00D55E4E" w:rsidP="00D55E4E">
      <w:pPr>
        <w:rPr>
          <w:rFonts w:eastAsia="Calibri"/>
        </w:rPr>
      </w:pPr>
    </w:p>
    <w:p w14:paraId="29B9005B" w14:textId="77777777" w:rsidR="00D55E4E" w:rsidRPr="00D55E4E" w:rsidRDefault="00D55E4E" w:rsidP="00D55E4E">
      <w:pPr>
        <w:rPr>
          <w:rFonts w:eastAsia="Calibri"/>
        </w:rPr>
      </w:pPr>
      <w:r w:rsidRPr="00D55E4E">
        <w:rPr>
          <w:rFonts w:eastAsia="Calibri"/>
        </w:rPr>
        <w:t>The Corporate Asset Services Manager post is subject to the wider reorganisation of Regeneration and Asset Management</w:t>
      </w:r>
      <w:r w:rsidRPr="006A1BAA">
        <w:rPr>
          <w:rFonts w:eastAsia="Calibri"/>
        </w:rPr>
        <w:t>. The title of this Post is to be changed to Operational Asset Manager and will be referred to as so in remainder of the document</w:t>
      </w:r>
      <w:r w:rsidRPr="00D55E4E">
        <w:rPr>
          <w:rFonts w:eastAsia="Calibri"/>
        </w:rPr>
        <w:t xml:space="preserve"> . The functions that will be maintained through this process and will continue to be the responsibility of the senior manager for property asset management include:</w:t>
      </w:r>
    </w:p>
    <w:p w14:paraId="394F67EB" w14:textId="77777777" w:rsidR="00D55E4E" w:rsidRPr="00D55E4E" w:rsidRDefault="00D55E4E" w:rsidP="00C1048E">
      <w:pPr>
        <w:numPr>
          <w:ilvl w:val="0"/>
          <w:numId w:val="43"/>
        </w:numPr>
        <w:rPr>
          <w:rFonts w:eastAsia="Calibri"/>
        </w:rPr>
      </w:pPr>
      <w:r w:rsidRPr="00D55E4E">
        <w:rPr>
          <w:rFonts w:eastAsia="Calibri"/>
        </w:rPr>
        <w:t>Driving a corporate approach to property asset management</w:t>
      </w:r>
    </w:p>
    <w:p w14:paraId="36527970" w14:textId="77777777" w:rsidR="00D55E4E" w:rsidRPr="00D55E4E" w:rsidRDefault="00D55E4E" w:rsidP="00C1048E">
      <w:pPr>
        <w:numPr>
          <w:ilvl w:val="0"/>
          <w:numId w:val="43"/>
        </w:numPr>
        <w:rPr>
          <w:rFonts w:eastAsia="Calibri"/>
        </w:rPr>
      </w:pPr>
      <w:r w:rsidRPr="00D55E4E">
        <w:rPr>
          <w:rFonts w:eastAsia="Calibri"/>
        </w:rPr>
        <w:t>Leading property asset management processes and programmes</w:t>
      </w:r>
    </w:p>
    <w:p w14:paraId="15099A14" w14:textId="77777777" w:rsidR="00D55E4E" w:rsidRPr="00D55E4E" w:rsidRDefault="00D55E4E" w:rsidP="00C1048E">
      <w:pPr>
        <w:numPr>
          <w:ilvl w:val="0"/>
          <w:numId w:val="43"/>
        </w:numPr>
        <w:rPr>
          <w:rFonts w:eastAsia="Calibri"/>
        </w:rPr>
      </w:pPr>
      <w:r w:rsidRPr="00D55E4E">
        <w:rPr>
          <w:rFonts w:eastAsia="Calibri"/>
        </w:rPr>
        <w:t>Leading on the property asset planning and property asset management plan</w:t>
      </w:r>
    </w:p>
    <w:p w14:paraId="2C68A352" w14:textId="77777777" w:rsidR="00D55E4E" w:rsidRPr="00D55E4E" w:rsidRDefault="00D55E4E" w:rsidP="00C1048E">
      <w:pPr>
        <w:numPr>
          <w:ilvl w:val="0"/>
          <w:numId w:val="43"/>
        </w:numPr>
        <w:rPr>
          <w:rFonts w:eastAsia="Calibri"/>
        </w:rPr>
      </w:pPr>
      <w:r w:rsidRPr="00D55E4E">
        <w:rPr>
          <w:rFonts w:eastAsia="Calibri"/>
        </w:rPr>
        <w:t>Engaging with all relevant stakeholders</w:t>
      </w:r>
    </w:p>
    <w:p w14:paraId="454E4127" w14:textId="77777777" w:rsidR="00D55E4E" w:rsidRPr="00D55E4E" w:rsidRDefault="00D55E4E" w:rsidP="00C1048E">
      <w:pPr>
        <w:numPr>
          <w:ilvl w:val="0"/>
          <w:numId w:val="43"/>
        </w:numPr>
        <w:rPr>
          <w:rFonts w:eastAsia="Calibri"/>
        </w:rPr>
      </w:pPr>
      <w:r w:rsidRPr="00D55E4E">
        <w:rPr>
          <w:rFonts w:eastAsia="Calibri"/>
        </w:rPr>
        <w:t>Leading on performance management for property assets</w:t>
      </w:r>
    </w:p>
    <w:p w14:paraId="66265021" w14:textId="77777777" w:rsidR="00D55E4E" w:rsidRPr="00D55E4E" w:rsidRDefault="00D55E4E" w:rsidP="00C1048E">
      <w:pPr>
        <w:numPr>
          <w:ilvl w:val="0"/>
          <w:numId w:val="43"/>
        </w:numPr>
        <w:rPr>
          <w:rFonts w:eastAsia="Calibri"/>
        </w:rPr>
      </w:pPr>
      <w:r w:rsidRPr="00D55E4E">
        <w:rPr>
          <w:rFonts w:eastAsia="Calibri"/>
        </w:rPr>
        <w:t>Managing strategic property data and information</w:t>
      </w:r>
    </w:p>
    <w:p w14:paraId="66DCEF75" w14:textId="77777777" w:rsidR="00D55E4E" w:rsidRPr="00D55E4E" w:rsidRDefault="00D55E4E" w:rsidP="00C1048E">
      <w:pPr>
        <w:numPr>
          <w:ilvl w:val="0"/>
          <w:numId w:val="43"/>
        </w:numPr>
        <w:rPr>
          <w:rFonts w:eastAsia="Calibri"/>
        </w:rPr>
      </w:pPr>
      <w:r w:rsidRPr="00D55E4E">
        <w:rPr>
          <w:rFonts w:eastAsia="Calibri"/>
        </w:rPr>
        <w:t>Driving delivery of the Accommodation Strategy and decision-making on the corporate estate to deliver a new fit for purpose estate</w:t>
      </w:r>
    </w:p>
    <w:p w14:paraId="44DB43CE" w14:textId="77777777" w:rsidR="00D55E4E" w:rsidRPr="00D55E4E" w:rsidRDefault="00D55E4E" w:rsidP="00D55E4E">
      <w:pPr>
        <w:rPr>
          <w:rFonts w:eastAsia="Calibri"/>
        </w:rPr>
      </w:pPr>
    </w:p>
    <w:p w14:paraId="2AC509AF" w14:textId="77777777" w:rsidR="00D55E4E" w:rsidRPr="00D55E4E" w:rsidRDefault="00D55E4E" w:rsidP="00D55E4E">
      <w:pPr>
        <w:rPr>
          <w:rFonts w:eastAsia="Calibri"/>
        </w:rPr>
      </w:pPr>
      <w:r w:rsidRPr="00D55E4E">
        <w:rPr>
          <w:rFonts w:eastAsia="Calibri"/>
        </w:rPr>
        <w:t>The Deputy Mayor and Cabinet Member for Growth and Regeneration is the member-level champion for property assets and lead member for the Strategic Asset Management Plan.</w:t>
      </w:r>
    </w:p>
    <w:p w14:paraId="64113BDD" w14:textId="77777777" w:rsidR="00D55E4E" w:rsidRPr="00D55E4E" w:rsidRDefault="00D55E4E" w:rsidP="00D55E4E">
      <w:pPr>
        <w:rPr>
          <w:rFonts w:eastAsia="Calibri"/>
        </w:rPr>
      </w:pPr>
    </w:p>
    <w:p w14:paraId="04327D75" w14:textId="77777777" w:rsidR="00D55E4E" w:rsidRPr="00D55E4E" w:rsidRDefault="00D55E4E" w:rsidP="00D55E4E">
      <w:pPr>
        <w:rPr>
          <w:rFonts w:eastAsia="Calibri"/>
        </w:rPr>
      </w:pPr>
      <w:r w:rsidRPr="00D55E4E">
        <w:rPr>
          <w:rFonts w:eastAsia="Calibri"/>
        </w:rPr>
        <w:t>As outlined above in 3.2.2 the current Corporate Asset Services team is being reorganised as part of the wider reorganisation of Regeneration and Asset Management.  The service will continue to have operational responsibility for management of the corporate estate across operational and commercial assets including in relation to:</w:t>
      </w:r>
    </w:p>
    <w:p w14:paraId="2003A1C3" w14:textId="77777777" w:rsidR="00D55E4E" w:rsidRPr="00D55E4E" w:rsidRDefault="00D55E4E" w:rsidP="00C1048E">
      <w:pPr>
        <w:numPr>
          <w:ilvl w:val="0"/>
          <w:numId w:val="44"/>
        </w:numPr>
        <w:rPr>
          <w:rFonts w:eastAsia="Calibri"/>
        </w:rPr>
      </w:pPr>
      <w:r w:rsidRPr="00D55E4E">
        <w:rPr>
          <w:rFonts w:eastAsia="Calibri"/>
        </w:rPr>
        <w:t>Data collection, reporting and analysis (as prescribed through the Data Management Handbook (3.2.1)</w:t>
      </w:r>
    </w:p>
    <w:p w14:paraId="4661686B" w14:textId="77777777" w:rsidR="00D55E4E" w:rsidRPr="00D55E4E" w:rsidRDefault="00D55E4E" w:rsidP="00C1048E">
      <w:pPr>
        <w:numPr>
          <w:ilvl w:val="0"/>
          <w:numId w:val="44"/>
        </w:numPr>
        <w:rPr>
          <w:rFonts w:eastAsia="Calibri"/>
        </w:rPr>
      </w:pPr>
      <w:r w:rsidRPr="00D55E4E">
        <w:rPr>
          <w:rFonts w:eastAsia="Calibri"/>
        </w:rPr>
        <w:t>Risk management, statutory compliance and health and safety (3.4)</w:t>
      </w:r>
    </w:p>
    <w:p w14:paraId="21EF9BA7" w14:textId="77777777" w:rsidR="00D55E4E" w:rsidRPr="00D55E4E" w:rsidRDefault="00D55E4E" w:rsidP="00C1048E">
      <w:pPr>
        <w:numPr>
          <w:ilvl w:val="0"/>
          <w:numId w:val="44"/>
        </w:numPr>
        <w:rPr>
          <w:rFonts w:eastAsia="Calibri"/>
        </w:rPr>
      </w:pPr>
      <w:r w:rsidRPr="00D55E4E">
        <w:rPr>
          <w:rFonts w:eastAsia="Calibri"/>
        </w:rPr>
        <w:t>Development and implementation of the Accommodation Strategy and asset optimisation (3.3.1)</w:t>
      </w:r>
    </w:p>
    <w:p w14:paraId="003313CA" w14:textId="77777777" w:rsidR="00D55E4E" w:rsidRPr="00D55E4E" w:rsidRDefault="00D55E4E" w:rsidP="00C1048E">
      <w:pPr>
        <w:numPr>
          <w:ilvl w:val="0"/>
          <w:numId w:val="44"/>
        </w:numPr>
        <w:rPr>
          <w:rFonts w:eastAsia="Calibri"/>
        </w:rPr>
      </w:pPr>
      <w:r w:rsidRPr="00D55E4E">
        <w:rPr>
          <w:rFonts w:eastAsia="Calibri"/>
        </w:rPr>
        <w:t>Communication on property asset management across the Council</w:t>
      </w:r>
    </w:p>
    <w:p w14:paraId="428ACFC0" w14:textId="77777777" w:rsidR="00D55E4E" w:rsidRPr="00D55E4E" w:rsidRDefault="00D55E4E" w:rsidP="00C1048E">
      <w:pPr>
        <w:numPr>
          <w:ilvl w:val="0"/>
          <w:numId w:val="44"/>
        </w:numPr>
        <w:rPr>
          <w:rFonts w:eastAsia="Calibri"/>
        </w:rPr>
      </w:pPr>
      <w:r w:rsidRPr="00D55E4E">
        <w:rPr>
          <w:rFonts w:eastAsia="Calibri"/>
        </w:rPr>
        <w:t>Operational management of facilities management and delivery of procurement strategy for the FM function</w:t>
      </w:r>
    </w:p>
    <w:p w14:paraId="6250C866" w14:textId="77777777" w:rsidR="00D55E4E" w:rsidRPr="00D55E4E" w:rsidRDefault="00D55E4E" w:rsidP="00C1048E">
      <w:pPr>
        <w:numPr>
          <w:ilvl w:val="0"/>
          <w:numId w:val="44"/>
        </w:numPr>
        <w:rPr>
          <w:rFonts w:eastAsia="Calibri"/>
        </w:rPr>
      </w:pPr>
      <w:r w:rsidRPr="00D55E4E">
        <w:rPr>
          <w:rFonts w:eastAsia="Calibri"/>
        </w:rPr>
        <w:t>Operate and maintain assets including maintenance, mechanical and electrical engineering, plans and record keeping, security</w:t>
      </w:r>
    </w:p>
    <w:p w14:paraId="5024DC80" w14:textId="77777777" w:rsidR="00D55E4E" w:rsidRPr="00D55E4E" w:rsidRDefault="00D55E4E" w:rsidP="00C1048E">
      <w:pPr>
        <w:numPr>
          <w:ilvl w:val="0"/>
          <w:numId w:val="44"/>
        </w:numPr>
        <w:rPr>
          <w:rFonts w:eastAsia="Calibri"/>
        </w:rPr>
      </w:pPr>
      <w:r w:rsidRPr="00D55E4E">
        <w:rPr>
          <w:rFonts w:eastAsia="Calibri"/>
        </w:rPr>
        <w:t xml:space="preserve">Energy procurement and management </w:t>
      </w:r>
    </w:p>
    <w:p w14:paraId="312C0679" w14:textId="77777777" w:rsidR="00D55E4E" w:rsidRPr="00D55E4E" w:rsidRDefault="00D55E4E" w:rsidP="00C1048E">
      <w:pPr>
        <w:numPr>
          <w:ilvl w:val="0"/>
          <w:numId w:val="44"/>
        </w:numPr>
        <w:rPr>
          <w:rFonts w:eastAsia="Calibri"/>
        </w:rPr>
      </w:pPr>
      <w:r w:rsidRPr="00D55E4E">
        <w:rPr>
          <w:rFonts w:eastAsia="Calibri"/>
        </w:rPr>
        <w:t>Project management delivery of asset works</w:t>
      </w:r>
    </w:p>
    <w:p w14:paraId="01011FFC" w14:textId="77777777" w:rsidR="00D55E4E" w:rsidRPr="00D55E4E" w:rsidRDefault="00D55E4E" w:rsidP="00D55E4E">
      <w:pPr>
        <w:rPr>
          <w:rFonts w:eastAsia="Calibri"/>
        </w:rPr>
      </w:pPr>
    </w:p>
    <w:p w14:paraId="2334B9BA" w14:textId="7D13AACF" w:rsidR="006A1BAA" w:rsidRDefault="006A1BAA">
      <w:pPr>
        <w:spacing w:after="200" w:line="276" w:lineRule="auto"/>
        <w:rPr>
          <w:rFonts w:eastAsia="Calibri"/>
          <w:u w:val="single"/>
        </w:rPr>
      </w:pPr>
      <w:r>
        <w:rPr>
          <w:rFonts w:eastAsia="Calibri"/>
          <w:u w:val="single"/>
        </w:rPr>
        <w:br w:type="page"/>
      </w:r>
    </w:p>
    <w:p w14:paraId="768CB93D" w14:textId="77777777" w:rsidR="00D55E4E" w:rsidRPr="00D55E4E" w:rsidRDefault="00D55E4E" w:rsidP="00D55E4E">
      <w:pPr>
        <w:rPr>
          <w:rFonts w:eastAsia="Calibri"/>
          <w:u w:val="single"/>
        </w:rPr>
      </w:pPr>
    </w:p>
    <w:p w14:paraId="38C5CA5F" w14:textId="77777777" w:rsidR="00D55E4E" w:rsidRPr="00D55E4E" w:rsidRDefault="00D55E4E" w:rsidP="00C1048E">
      <w:pPr>
        <w:numPr>
          <w:ilvl w:val="0"/>
          <w:numId w:val="45"/>
        </w:numPr>
        <w:rPr>
          <w:rFonts w:eastAsia="Calibri"/>
          <w:u w:val="single"/>
        </w:rPr>
      </w:pPr>
      <w:r w:rsidRPr="00D55E4E">
        <w:rPr>
          <w:rFonts w:eastAsia="Calibri"/>
          <w:u w:val="single"/>
        </w:rPr>
        <w:t>New corporate governance arrangements</w:t>
      </w:r>
    </w:p>
    <w:p w14:paraId="16F16D87" w14:textId="77777777" w:rsidR="00D55E4E" w:rsidRPr="00D55E4E" w:rsidRDefault="00D55E4E" w:rsidP="00D55E4E">
      <w:pPr>
        <w:rPr>
          <w:rFonts w:eastAsia="Calibri"/>
        </w:rPr>
      </w:pPr>
    </w:p>
    <w:p w14:paraId="6DAF2845" w14:textId="77777777" w:rsidR="00D55E4E" w:rsidRPr="00D55E4E" w:rsidRDefault="00D55E4E" w:rsidP="00D55E4E">
      <w:pPr>
        <w:rPr>
          <w:rFonts w:eastAsia="Calibri"/>
        </w:rPr>
      </w:pPr>
      <w:r w:rsidRPr="00D55E4E">
        <w:rPr>
          <w:rFonts w:eastAsia="Calibri"/>
        </w:rPr>
        <w:t xml:space="preserve">Corporate Asset Services have responsibility for holding the Council’s Property Asset Register and managing and maintaining the Council’s core operational estate of 106 properties.  In the remainder of estate each building has a designated “Premises Officer” who is responsible for H&amp;S, based as follows:  </w:t>
      </w:r>
    </w:p>
    <w:p w14:paraId="73A8D500" w14:textId="77777777" w:rsidR="00D55E4E" w:rsidRPr="00D55E4E" w:rsidRDefault="00D55E4E" w:rsidP="00C1048E">
      <w:pPr>
        <w:numPr>
          <w:ilvl w:val="0"/>
          <w:numId w:val="46"/>
        </w:numPr>
        <w:tabs>
          <w:tab w:val="num" w:pos="360"/>
        </w:tabs>
        <w:ind w:left="360"/>
        <w:rPr>
          <w:rFonts w:eastAsia="Calibri"/>
        </w:rPr>
      </w:pPr>
      <w:r w:rsidRPr="00D55E4E">
        <w:rPr>
          <w:rFonts w:eastAsia="Calibri"/>
        </w:rPr>
        <w:t>Children &amp; Young People Directorate, working with Governing Bodies is responsible for all aspects of the school estate.</w:t>
      </w:r>
    </w:p>
    <w:p w14:paraId="2F005D75" w14:textId="77777777" w:rsidR="00D55E4E" w:rsidRPr="00D55E4E" w:rsidRDefault="00D55E4E" w:rsidP="00C1048E">
      <w:pPr>
        <w:numPr>
          <w:ilvl w:val="0"/>
          <w:numId w:val="47"/>
        </w:numPr>
        <w:tabs>
          <w:tab w:val="num" w:pos="360"/>
        </w:tabs>
        <w:ind w:left="360"/>
        <w:rPr>
          <w:rFonts w:eastAsia="Calibri"/>
        </w:rPr>
      </w:pPr>
      <w:r w:rsidRPr="00D55E4E">
        <w:rPr>
          <w:rFonts w:eastAsia="Calibri"/>
        </w:rPr>
        <w:t xml:space="preserve">Customer Services Directorate, working with Lewisham Homes, is responsible for all aspects of the housing estate and hostels.  </w:t>
      </w:r>
    </w:p>
    <w:p w14:paraId="3C0E201B" w14:textId="77777777" w:rsidR="00D55E4E" w:rsidRPr="00D55E4E" w:rsidRDefault="00D55E4E" w:rsidP="00C1048E">
      <w:pPr>
        <w:numPr>
          <w:ilvl w:val="0"/>
          <w:numId w:val="48"/>
        </w:numPr>
        <w:tabs>
          <w:tab w:val="num" w:pos="360"/>
        </w:tabs>
        <w:ind w:left="360"/>
        <w:rPr>
          <w:rFonts w:eastAsia="Calibri"/>
        </w:rPr>
      </w:pPr>
      <w:r w:rsidRPr="00D55E4E">
        <w:rPr>
          <w:rFonts w:eastAsia="Calibri"/>
        </w:rPr>
        <w:t>Community Services directorate is responsible for all aspects of an agreed number of community buildings.</w:t>
      </w:r>
    </w:p>
    <w:p w14:paraId="04F2740B" w14:textId="77777777" w:rsidR="00D55E4E" w:rsidRPr="00D55E4E" w:rsidRDefault="00D55E4E" w:rsidP="00C1048E">
      <w:pPr>
        <w:numPr>
          <w:ilvl w:val="0"/>
          <w:numId w:val="49"/>
        </w:numPr>
        <w:tabs>
          <w:tab w:val="num" w:pos="360"/>
        </w:tabs>
        <w:ind w:left="360"/>
        <w:rPr>
          <w:rFonts w:eastAsia="Calibri"/>
        </w:rPr>
      </w:pPr>
      <w:r w:rsidRPr="00D55E4E">
        <w:rPr>
          <w:rFonts w:eastAsia="Calibri"/>
        </w:rPr>
        <w:t xml:space="preserve">Corporate Asset Services are responsible for the management of the Commercial Estate. Where buildings are leased, in general terms responsibility for the building will pass to the lessee. </w:t>
      </w:r>
    </w:p>
    <w:p w14:paraId="645A815E" w14:textId="77777777" w:rsidR="00D55E4E" w:rsidRPr="00D55E4E" w:rsidRDefault="00D55E4E" w:rsidP="00D55E4E">
      <w:pPr>
        <w:rPr>
          <w:rFonts w:eastAsia="Calibri"/>
        </w:rPr>
      </w:pPr>
    </w:p>
    <w:p w14:paraId="5017E831" w14:textId="72D1BDAC" w:rsidR="00D55E4E" w:rsidRPr="0038084E" w:rsidRDefault="00D55E4E" w:rsidP="00D55E4E">
      <w:pPr>
        <w:jc w:val="both"/>
        <w:rPr>
          <w:rFonts w:eastAsia="Calibri"/>
        </w:rPr>
      </w:pPr>
      <w:r w:rsidRPr="0038084E">
        <w:rPr>
          <w:rFonts w:eastAsia="Calibri"/>
        </w:rPr>
        <w:t xml:space="preserve">The new governance arrangements aim to support </w:t>
      </w:r>
      <w:r w:rsidRPr="0038084E">
        <w:rPr>
          <w:rFonts w:eastAsia="Calibri" w:cs="Arial"/>
          <w:color w:val="333333"/>
        </w:rPr>
        <w:t xml:space="preserve">the use of property assets as a corporate issue and </w:t>
      </w:r>
      <w:r w:rsidR="0038084E" w:rsidRPr="0038084E">
        <w:rPr>
          <w:rFonts w:eastAsia="Calibri" w:cs="Arial"/>
          <w:color w:val="333333"/>
        </w:rPr>
        <w:t xml:space="preserve">to underpin corporate responsibility for ensuring </w:t>
      </w:r>
      <w:r w:rsidRPr="0038084E">
        <w:rPr>
          <w:rFonts w:eastAsia="Calibri" w:cs="Arial"/>
          <w:color w:val="333333"/>
        </w:rPr>
        <w:t>the efficiency and effectiveness of property asset use</w:t>
      </w:r>
      <w:r w:rsidR="0038084E" w:rsidRPr="0038084E">
        <w:rPr>
          <w:rFonts w:eastAsia="Calibri" w:cs="Arial"/>
          <w:color w:val="333333"/>
        </w:rPr>
        <w:t xml:space="preserve"> and achieving the aims of this Strategic Asset Management Plan. </w:t>
      </w:r>
    </w:p>
    <w:p w14:paraId="73665310" w14:textId="77777777" w:rsidR="0038084E" w:rsidRPr="0038084E" w:rsidRDefault="0038084E" w:rsidP="00D55E4E">
      <w:pPr>
        <w:jc w:val="both"/>
        <w:rPr>
          <w:rFonts w:eastAsia="Calibri" w:cs="Arial"/>
          <w:color w:val="333333"/>
        </w:rPr>
      </w:pPr>
    </w:p>
    <w:p w14:paraId="40338195" w14:textId="4571A69C" w:rsidR="00D55E4E" w:rsidRPr="0038084E" w:rsidRDefault="0038084E" w:rsidP="00D55E4E">
      <w:pPr>
        <w:jc w:val="both"/>
        <w:rPr>
          <w:rFonts w:eastAsia="Calibri"/>
        </w:rPr>
      </w:pPr>
      <w:r w:rsidRPr="0038084E">
        <w:rPr>
          <w:rFonts w:eastAsia="Calibri" w:cs="Arial"/>
          <w:color w:val="333333"/>
        </w:rPr>
        <w:t xml:space="preserve">The governance arrangements are also intended to achieve a proactive alignment of corporate programmes with asset management, including in particular planning for </w:t>
      </w:r>
      <w:r w:rsidR="00D55E4E" w:rsidRPr="0038084E">
        <w:rPr>
          <w:rFonts w:eastAsia="Calibri" w:cs="Arial"/>
          <w:color w:val="333333"/>
        </w:rPr>
        <w:t xml:space="preserve">capital and </w:t>
      </w:r>
      <w:r w:rsidRPr="0038084E">
        <w:rPr>
          <w:rFonts w:eastAsia="Calibri" w:cs="Arial"/>
          <w:color w:val="333333"/>
        </w:rPr>
        <w:t xml:space="preserve">revenue </w:t>
      </w:r>
      <w:r w:rsidR="00D55E4E" w:rsidRPr="0038084E">
        <w:rPr>
          <w:rFonts w:eastAsia="Calibri" w:cs="Arial"/>
          <w:color w:val="333333"/>
        </w:rPr>
        <w:t xml:space="preserve">expenditure.  The key  relationship is with the financial planning process, but it is also important that ongoing monitoring of strategic financial information continues, for example total maintenance expenditure, overall income collection, total energy expenditure. </w:t>
      </w:r>
    </w:p>
    <w:p w14:paraId="12FF0C8B" w14:textId="77777777" w:rsidR="00D55E4E" w:rsidRPr="00D55E4E" w:rsidRDefault="00D55E4E" w:rsidP="00D55E4E">
      <w:pPr>
        <w:rPr>
          <w:rFonts w:eastAsia="Calibri"/>
        </w:rPr>
      </w:pPr>
    </w:p>
    <w:p w14:paraId="5D90FB0C" w14:textId="77777777" w:rsidR="00D55E4E" w:rsidRPr="00D55E4E" w:rsidRDefault="00D55E4E" w:rsidP="00D55E4E">
      <w:pPr>
        <w:rPr>
          <w:rFonts w:eastAsia="Calibri"/>
          <w:i/>
        </w:rPr>
      </w:pPr>
      <w:r w:rsidRPr="00D55E4E">
        <w:rPr>
          <w:rFonts w:eastAsia="Calibri"/>
          <w:i/>
        </w:rPr>
        <w:t>Regeneration Board</w:t>
      </w:r>
    </w:p>
    <w:p w14:paraId="1DFBF14D" w14:textId="77777777" w:rsidR="00D55E4E" w:rsidRPr="00D55E4E" w:rsidRDefault="00D55E4E" w:rsidP="00D55E4E">
      <w:pPr>
        <w:rPr>
          <w:rFonts w:eastAsia="Calibri"/>
        </w:rPr>
      </w:pPr>
      <w:r w:rsidRPr="00D55E4E">
        <w:rPr>
          <w:rFonts w:eastAsia="Calibri"/>
        </w:rPr>
        <w:t>A corporate Regeneration Board, chaired by the Executive Director for Resources and Regeneration has been established to ensure that a consistent and corporate approach is taken to the development of a new Regeneration Strategy and the delivery of its key outcomes for Lewisham. The development of that Strategy and its associated delivery program needs to consider our current environment and the Vision for the future environment.  The Regeneration Board is the focus for developing the Council’s strategic approach to demands on our infrastructure and facilities and how they are going to change over time.  The Regeneration Board includes high level officer representation from Community Services, Children and Young People, Housing, Planning, Corporate Assets, Programme Management and brings in other officers as required.</w:t>
      </w:r>
    </w:p>
    <w:p w14:paraId="6564C6B3" w14:textId="77777777" w:rsidR="00D55E4E" w:rsidRPr="00D55E4E" w:rsidRDefault="00D55E4E" w:rsidP="00D55E4E">
      <w:pPr>
        <w:rPr>
          <w:rFonts w:eastAsia="Calibri"/>
        </w:rPr>
      </w:pPr>
    </w:p>
    <w:p w14:paraId="6627B5EA" w14:textId="77777777" w:rsidR="00D55E4E" w:rsidRPr="00D55E4E" w:rsidRDefault="00D55E4E" w:rsidP="00D55E4E">
      <w:pPr>
        <w:rPr>
          <w:rFonts w:eastAsia="Calibri"/>
          <w:i/>
        </w:rPr>
      </w:pPr>
      <w:r w:rsidRPr="00D55E4E">
        <w:rPr>
          <w:rFonts w:eastAsia="Calibri"/>
          <w:i/>
        </w:rPr>
        <w:t>Asset Management Board</w:t>
      </w:r>
    </w:p>
    <w:p w14:paraId="1C7AB9A3" w14:textId="77777777" w:rsidR="00D55E4E" w:rsidRPr="00D55E4E" w:rsidRDefault="00D55E4E" w:rsidP="00D55E4E">
      <w:pPr>
        <w:rPr>
          <w:rFonts w:eastAsia="Calibri"/>
        </w:rPr>
      </w:pPr>
      <w:r w:rsidRPr="00D55E4E">
        <w:rPr>
          <w:rFonts w:eastAsia="Calibri"/>
        </w:rPr>
        <w:t>The Regeneration Board has agreed in principle the setting up of a new refocused Asset Management Board tasked with driving progress of the delivery of the Strategic Asset Management Plan and in particular:</w:t>
      </w:r>
    </w:p>
    <w:p w14:paraId="2B305DB6" w14:textId="77777777" w:rsidR="00D55E4E" w:rsidRPr="00D55E4E" w:rsidRDefault="00D55E4E" w:rsidP="00C1048E">
      <w:pPr>
        <w:numPr>
          <w:ilvl w:val="0"/>
          <w:numId w:val="49"/>
        </w:numPr>
        <w:tabs>
          <w:tab w:val="num" w:pos="426"/>
        </w:tabs>
        <w:ind w:left="567" w:hanging="567"/>
        <w:rPr>
          <w:rFonts w:eastAsia="Calibri"/>
        </w:rPr>
      </w:pPr>
      <w:r w:rsidRPr="00D55E4E">
        <w:rPr>
          <w:rFonts w:eastAsia="Calibri"/>
        </w:rPr>
        <w:t>Provide the focus for decision making on asset optimisation and a reshaped operational estate</w:t>
      </w:r>
    </w:p>
    <w:p w14:paraId="7987CB22"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Delivery of the Accommodation Strategy</w:t>
      </w:r>
    </w:p>
    <w:p w14:paraId="6988C425"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Deliver on the outcome of the third sector and community assets work</w:t>
      </w:r>
    </w:p>
    <w:p w14:paraId="3ED9B5C1"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Develop and implement use of extended schools</w:t>
      </w:r>
    </w:p>
    <w:p w14:paraId="411E7FAF"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Implement integration of FM functions</w:t>
      </w:r>
    </w:p>
    <w:p w14:paraId="4A153CDB"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 xml:space="preserve">Provide a quality assurance role for operational management of the corporate estate </w:t>
      </w:r>
    </w:p>
    <w:p w14:paraId="2BCC870F"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 xml:space="preserve">Provide the focus for partner engagement </w:t>
      </w:r>
    </w:p>
    <w:p w14:paraId="60661AB2" w14:textId="77777777" w:rsidR="00D55E4E" w:rsidRPr="00D55E4E" w:rsidRDefault="00D55E4E" w:rsidP="00C1048E">
      <w:pPr>
        <w:numPr>
          <w:ilvl w:val="0"/>
          <w:numId w:val="49"/>
        </w:numPr>
        <w:tabs>
          <w:tab w:val="num" w:pos="426"/>
        </w:tabs>
        <w:ind w:hanging="1080"/>
        <w:rPr>
          <w:rFonts w:eastAsia="Calibri"/>
        </w:rPr>
      </w:pPr>
      <w:r w:rsidRPr="00D55E4E">
        <w:rPr>
          <w:rFonts w:eastAsia="Calibri"/>
        </w:rPr>
        <w:t>Be the focus for reporting against and reviewing the Asset Management Plan</w:t>
      </w:r>
    </w:p>
    <w:p w14:paraId="481B0D1C" w14:textId="77777777" w:rsidR="00D55E4E" w:rsidRPr="00D55E4E" w:rsidRDefault="00D55E4E" w:rsidP="00D55E4E">
      <w:pPr>
        <w:rPr>
          <w:rFonts w:eastAsia="Calibri"/>
        </w:rPr>
      </w:pPr>
    </w:p>
    <w:p w14:paraId="50D2BAF8" w14:textId="77777777" w:rsidR="00D55E4E" w:rsidRPr="0038084E" w:rsidRDefault="00D55E4E" w:rsidP="00D55E4E">
      <w:pPr>
        <w:jc w:val="both"/>
        <w:rPr>
          <w:rFonts w:eastAsia="Calibri"/>
        </w:rPr>
      </w:pPr>
      <w:r w:rsidRPr="0038084E">
        <w:rPr>
          <w:rFonts w:eastAsia="Calibri"/>
        </w:rPr>
        <w:t xml:space="preserve">This Asset Management Board replaces the existing Asset Optimisation Working Group. The board manages the implementation of the property asset management plan and capital strategy. Recommendations by this board will be reported directly to the Regeneration Board and senior politicians as appropriate. </w:t>
      </w:r>
    </w:p>
    <w:p w14:paraId="3F5BA717" w14:textId="77777777" w:rsidR="00D55E4E" w:rsidRPr="0038084E" w:rsidRDefault="00D55E4E" w:rsidP="00D55E4E">
      <w:pPr>
        <w:rPr>
          <w:rFonts w:eastAsia="Calibri"/>
        </w:rPr>
      </w:pPr>
    </w:p>
    <w:p w14:paraId="3A2605E2" w14:textId="7A1D9B5F" w:rsidR="00D55E4E" w:rsidRPr="0038084E" w:rsidRDefault="00D55E4E" w:rsidP="00D55E4E">
      <w:pPr>
        <w:jc w:val="both"/>
        <w:rPr>
          <w:rFonts w:eastAsia="Calibri"/>
        </w:rPr>
      </w:pPr>
      <w:r w:rsidRPr="0038084E">
        <w:rPr>
          <w:rFonts w:eastAsia="Calibri"/>
        </w:rPr>
        <w:t xml:space="preserve">The Service Group Manager Operational Asset Management will chair the board and there will </w:t>
      </w:r>
      <w:r w:rsidR="00DC771A">
        <w:rPr>
          <w:rFonts w:eastAsia="Calibri"/>
        </w:rPr>
        <w:t xml:space="preserve">be representation made up from senior officers from the Council’s main </w:t>
      </w:r>
      <w:r w:rsidRPr="0038084E">
        <w:rPr>
          <w:rFonts w:eastAsia="Calibri"/>
        </w:rPr>
        <w:t xml:space="preserve">operational </w:t>
      </w:r>
      <w:r w:rsidR="00DC771A">
        <w:rPr>
          <w:rFonts w:eastAsia="Calibri"/>
        </w:rPr>
        <w:t>and finance sections. The Asset Management B</w:t>
      </w:r>
      <w:r w:rsidRPr="0038084E">
        <w:rPr>
          <w:rFonts w:eastAsia="Calibri"/>
        </w:rPr>
        <w:t xml:space="preserve">oard </w:t>
      </w:r>
      <w:r w:rsidR="0038084E" w:rsidRPr="0038084E">
        <w:rPr>
          <w:rFonts w:eastAsia="Calibri"/>
        </w:rPr>
        <w:t xml:space="preserve">is expected to </w:t>
      </w:r>
      <w:r w:rsidRPr="0038084E">
        <w:rPr>
          <w:rFonts w:eastAsia="Calibri"/>
        </w:rPr>
        <w:t>meet  monthly  and report to the Regeneration Board  on a q</w:t>
      </w:r>
      <w:r w:rsidR="0038084E" w:rsidRPr="0038084E">
        <w:rPr>
          <w:rFonts w:eastAsia="Calibri"/>
        </w:rPr>
        <w:t>uarterly basis, with timings changed as required operationally</w:t>
      </w:r>
      <w:r w:rsidRPr="0038084E">
        <w:rPr>
          <w:rFonts w:eastAsia="Calibri"/>
        </w:rPr>
        <w:t>.</w:t>
      </w:r>
    </w:p>
    <w:p w14:paraId="5FBC717D" w14:textId="77777777" w:rsidR="00D55E4E" w:rsidRPr="00D55E4E" w:rsidRDefault="00D55E4E" w:rsidP="00D55E4E">
      <w:pPr>
        <w:jc w:val="both"/>
        <w:rPr>
          <w:rFonts w:eastAsia="Calibri"/>
          <w:b/>
        </w:rPr>
      </w:pPr>
    </w:p>
    <w:p w14:paraId="5B5A9FB3" w14:textId="4C30CCFC" w:rsidR="00DC771A" w:rsidRDefault="00DC771A">
      <w:pPr>
        <w:spacing w:after="200" w:line="276" w:lineRule="auto"/>
        <w:rPr>
          <w:rFonts w:eastAsia="Calibri"/>
        </w:rPr>
      </w:pPr>
    </w:p>
    <w:p w14:paraId="6126F747" w14:textId="77777777" w:rsidR="00D55E4E" w:rsidRPr="00D55E4E" w:rsidRDefault="00D55E4E" w:rsidP="00D55E4E">
      <w:pPr>
        <w:rPr>
          <w:rFonts w:eastAsia="Calibri"/>
        </w:rPr>
      </w:pPr>
    </w:p>
    <w:p w14:paraId="3EAD8752" w14:textId="77777777" w:rsidR="00D55E4E" w:rsidRPr="00D55E4E" w:rsidRDefault="00D55E4E" w:rsidP="00D55E4E">
      <w:pPr>
        <w:jc w:val="center"/>
        <w:rPr>
          <w:rFonts w:eastAsia="Calibri"/>
          <w:b/>
          <w:sz w:val="28"/>
          <w:szCs w:val="28"/>
          <w:u w:val="single"/>
        </w:rPr>
      </w:pPr>
      <w:r w:rsidRPr="00D55E4E">
        <w:rPr>
          <w:rFonts w:eastAsia="Calibri"/>
          <w:b/>
          <w:sz w:val="28"/>
          <w:szCs w:val="28"/>
          <w:u w:val="single"/>
        </w:rPr>
        <w:t>Corporate Governance Structure</w:t>
      </w:r>
    </w:p>
    <w:p w14:paraId="222D20D8" w14:textId="77777777" w:rsidR="00D55E4E" w:rsidRPr="00D55E4E" w:rsidRDefault="00D55E4E" w:rsidP="00D55E4E">
      <w:pPr>
        <w:rPr>
          <w:rFonts w:eastAsia="Calibri"/>
        </w:rPr>
      </w:pPr>
    </w:p>
    <w:p w14:paraId="3851BFF5" w14:textId="77777777" w:rsidR="00D55E4E" w:rsidRPr="00D55E4E" w:rsidRDefault="00D55E4E" w:rsidP="00D55E4E">
      <w:pPr>
        <w:rPr>
          <w:rFonts w:eastAsia="Calibri"/>
        </w:rPr>
      </w:pPr>
    </w:p>
    <w:p w14:paraId="333DEA67" w14:textId="77777777" w:rsidR="00D55E4E" w:rsidRPr="00D55E4E" w:rsidRDefault="00D55E4E" w:rsidP="00D55E4E">
      <w:pPr>
        <w:rPr>
          <w:rFonts w:eastAsia="Calibri"/>
        </w:rPr>
      </w:pPr>
      <w:r w:rsidRPr="00D55E4E">
        <w:rPr>
          <w:rFonts w:eastAsia="Calibri"/>
          <w:noProof/>
          <w:lang w:eastAsia="en-GB"/>
        </w:rPr>
        <mc:AlternateContent>
          <mc:Choice Requires="wpc">
            <w:drawing>
              <wp:inline distT="0" distB="0" distL="0" distR="0" wp14:anchorId="2DFF5B3F" wp14:editId="385C4545">
                <wp:extent cx="6645910" cy="3524885"/>
                <wp:effectExtent l="19050" t="19050" r="21590" b="18415"/>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ounded Rectangle 3"/>
                        <wps:cNvSpPr>
                          <a:spLocks noChangeArrowheads="1"/>
                        </wps:cNvSpPr>
                        <wps:spPr bwMode="auto">
                          <a:xfrm>
                            <a:off x="0" y="0"/>
                            <a:ext cx="3752275" cy="625131"/>
                          </a:xfrm>
                          <a:prstGeom prst="roundRect">
                            <a:avLst>
                              <a:gd name="adj" fmla="val 16667"/>
                            </a:avLst>
                          </a:prstGeom>
                          <a:solidFill>
                            <a:srgbClr val="4F81BD">
                              <a:alpha val="50195"/>
                            </a:srgbClr>
                          </a:solidFill>
                          <a:ln w="25400">
                            <a:solidFill>
                              <a:srgbClr val="8EB4E3"/>
                            </a:solidFill>
                            <a:round/>
                            <a:headEnd/>
                            <a:tailEnd/>
                          </a:ln>
                        </wps:spPr>
                        <wps:txbx>
                          <w:txbxContent>
                            <w:p w14:paraId="671227C7" w14:textId="77777777" w:rsidR="00640D2D" w:rsidRDefault="00640D2D" w:rsidP="00D55E4E">
                              <w:pPr>
                                <w:autoSpaceDE w:val="0"/>
                                <w:autoSpaceDN w:val="0"/>
                                <w:adjustRightInd w:val="0"/>
                                <w:jc w:val="center"/>
                                <w:rPr>
                                  <w:color w:val="FFFFFF"/>
                                  <w:sz w:val="21"/>
                                  <w:szCs w:val="26"/>
                                </w:rPr>
                              </w:pPr>
                              <w:r>
                                <w:rPr>
                                  <w:color w:val="FFFFFF"/>
                                  <w:sz w:val="21"/>
                                  <w:szCs w:val="26"/>
                                </w:rPr>
                                <w:t>Regeneration Board</w:t>
                              </w:r>
                            </w:p>
                            <w:p w14:paraId="3E8CFA03" w14:textId="77777777" w:rsidR="00640D2D" w:rsidRDefault="00640D2D" w:rsidP="00D55E4E">
                              <w:pPr>
                                <w:autoSpaceDE w:val="0"/>
                                <w:autoSpaceDN w:val="0"/>
                                <w:adjustRightInd w:val="0"/>
                                <w:jc w:val="center"/>
                                <w:rPr>
                                  <w:color w:val="FFFFFF"/>
                                  <w:sz w:val="13"/>
                                  <w:szCs w:val="16"/>
                                </w:rPr>
                              </w:pPr>
                            </w:p>
                            <w:p w14:paraId="416018DC" w14:textId="77777777" w:rsidR="00640D2D" w:rsidRDefault="00640D2D" w:rsidP="00D55E4E">
                              <w:pPr>
                                <w:autoSpaceDE w:val="0"/>
                                <w:autoSpaceDN w:val="0"/>
                                <w:adjustRightInd w:val="0"/>
                                <w:jc w:val="center"/>
                                <w:rPr>
                                  <w:color w:val="FFFFFF"/>
                                  <w:sz w:val="14"/>
                                  <w:szCs w:val="18"/>
                                </w:rPr>
                              </w:pPr>
                              <w:r>
                                <w:rPr>
                                  <w:color w:val="FFFFFF"/>
                                  <w:sz w:val="14"/>
                                  <w:szCs w:val="18"/>
                                </w:rPr>
                                <w:t xml:space="preserve">(corporate decision making body) </w:t>
                              </w:r>
                            </w:p>
                          </w:txbxContent>
                        </wps:txbx>
                        <wps:bodyPr rot="0" vert="horz" wrap="square" lIns="72238" tIns="36119" rIns="72238" bIns="36119" anchor="ctr" anchorCtr="0">
                          <a:noAutofit/>
                        </wps:bodyPr>
                      </wps:wsp>
                      <wps:wsp>
                        <wps:cNvPr id="3" name="Rounded Rectangle 4"/>
                        <wps:cNvSpPr>
                          <a:spLocks noChangeArrowheads="1"/>
                        </wps:cNvSpPr>
                        <wps:spPr bwMode="auto">
                          <a:xfrm>
                            <a:off x="0" y="1193431"/>
                            <a:ext cx="3752275" cy="625131"/>
                          </a:xfrm>
                          <a:prstGeom prst="roundRect">
                            <a:avLst>
                              <a:gd name="adj" fmla="val 16667"/>
                            </a:avLst>
                          </a:prstGeom>
                          <a:solidFill>
                            <a:srgbClr val="00B050">
                              <a:alpha val="50195"/>
                            </a:srgbClr>
                          </a:solidFill>
                          <a:ln w="25400">
                            <a:solidFill>
                              <a:srgbClr val="00B050"/>
                            </a:solidFill>
                            <a:round/>
                            <a:headEnd/>
                            <a:tailEnd/>
                          </a:ln>
                        </wps:spPr>
                        <wps:txbx>
                          <w:txbxContent>
                            <w:p w14:paraId="766D0A98" w14:textId="77777777" w:rsidR="00640D2D" w:rsidRDefault="00640D2D" w:rsidP="00D55E4E">
                              <w:pPr>
                                <w:autoSpaceDE w:val="0"/>
                                <w:autoSpaceDN w:val="0"/>
                                <w:adjustRightInd w:val="0"/>
                                <w:jc w:val="center"/>
                                <w:rPr>
                                  <w:color w:val="FFFFFF"/>
                                  <w:sz w:val="21"/>
                                  <w:szCs w:val="26"/>
                                </w:rPr>
                              </w:pPr>
                              <w:r>
                                <w:rPr>
                                  <w:color w:val="FFFFFF"/>
                                  <w:sz w:val="21"/>
                                  <w:szCs w:val="26"/>
                                </w:rPr>
                                <w:t>Asset Management Board</w:t>
                              </w:r>
                            </w:p>
                            <w:p w14:paraId="503C65D3" w14:textId="77777777" w:rsidR="00640D2D" w:rsidRDefault="00640D2D" w:rsidP="00D55E4E">
                              <w:pPr>
                                <w:autoSpaceDE w:val="0"/>
                                <w:autoSpaceDN w:val="0"/>
                                <w:adjustRightInd w:val="0"/>
                                <w:jc w:val="center"/>
                                <w:rPr>
                                  <w:color w:val="FFFFFF"/>
                                  <w:sz w:val="13"/>
                                  <w:szCs w:val="16"/>
                                </w:rPr>
                              </w:pPr>
                            </w:p>
                            <w:p w14:paraId="381B2C31" w14:textId="77777777" w:rsidR="00640D2D" w:rsidRDefault="00640D2D" w:rsidP="00D55E4E">
                              <w:pPr>
                                <w:autoSpaceDE w:val="0"/>
                                <w:autoSpaceDN w:val="0"/>
                                <w:adjustRightInd w:val="0"/>
                                <w:jc w:val="center"/>
                                <w:rPr>
                                  <w:color w:val="FFFFFF"/>
                                  <w:sz w:val="14"/>
                                  <w:szCs w:val="18"/>
                                </w:rPr>
                              </w:pPr>
                              <w:r>
                                <w:rPr>
                                  <w:color w:val="FFFFFF"/>
                                  <w:sz w:val="14"/>
                                  <w:szCs w:val="18"/>
                                </w:rPr>
                                <w:t xml:space="preserve">(coordinates property asset management strategically and reports/recommends to management/executive level. </w:t>
                              </w:r>
                            </w:p>
                            <w:p w14:paraId="057B13CB" w14:textId="77777777" w:rsidR="00640D2D" w:rsidRDefault="00640D2D" w:rsidP="00D55E4E">
                              <w:pPr>
                                <w:autoSpaceDE w:val="0"/>
                                <w:autoSpaceDN w:val="0"/>
                                <w:adjustRightInd w:val="0"/>
                                <w:jc w:val="center"/>
                                <w:rPr>
                                  <w:color w:val="FFFFFF"/>
                                  <w:sz w:val="14"/>
                                  <w:szCs w:val="18"/>
                                </w:rPr>
                              </w:pPr>
                              <w:r>
                                <w:rPr>
                                  <w:color w:val="FFFFFF"/>
                                  <w:sz w:val="14"/>
                                  <w:szCs w:val="18"/>
                                </w:rPr>
                                <w:t>Comprises representatives of the  Directorates with an interest in property matters)</w:t>
                              </w:r>
                            </w:p>
                          </w:txbxContent>
                        </wps:txbx>
                        <wps:bodyPr rot="0" vert="horz" wrap="square" lIns="72238" tIns="36119" rIns="72238" bIns="36119" anchor="ctr" anchorCtr="0">
                          <a:noAutofit/>
                        </wps:bodyPr>
                      </wps:wsp>
                      <wps:wsp>
                        <wps:cNvPr id="5" name="Up-Down Arrow 10"/>
                        <wps:cNvSpPr>
                          <a:spLocks noChangeArrowheads="1"/>
                        </wps:cNvSpPr>
                        <wps:spPr bwMode="auto">
                          <a:xfrm>
                            <a:off x="1847419" y="682671"/>
                            <a:ext cx="114146" cy="483056"/>
                          </a:xfrm>
                          <a:prstGeom prst="upDownArrow">
                            <a:avLst>
                              <a:gd name="adj1" fmla="val 50000"/>
                              <a:gd name="adj2" fmla="val 50952"/>
                            </a:avLst>
                          </a:prstGeom>
                          <a:solidFill>
                            <a:srgbClr val="95B3D7">
                              <a:alpha val="50195"/>
                            </a:srgbClr>
                          </a:solidFill>
                          <a:ln w="25400">
                            <a:solidFill>
                              <a:srgbClr val="8EB4E3"/>
                            </a:solidFill>
                            <a:miter lim="800000"/>
                            <a:headEnd/>
                            <a:tailEnd/>
                          </a:ln>
                        </wps:spPr>
                        <wps:txbx>
                          <w:txbxContent>
                            <w:p w14:paraId="38B4C25D"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6" name="Rounded Rectangle 15"/>
                        <wps:cNvSpPr>
                          <a:spLocks noChangeArrowheads="1"/>
                        </wps:cNvSpPr>
                        <wps:spPr bwMode="auto">
                          <a:xfrm>
                            <a:off x="4257570" y="5683"/>
                            <a:ext cx="2388340" cy="625841"/>
                          </a:xfrm>
                          <a:prstGeom prst="roundRect">
                            <a:avLst>
                              <a:gd name="adj" fmla="val 16667"/>
                            </a:avLst>
                          </a:prstGeom>
                          <a:solidFill>
                            <a:srgbClr val="4F81BD">
                              <a:alpha val="50195"/>
                            </a:srgbClr>
                          </a:solidFill>
                          <a:ln w="25400">
                            <a:solidFill>
                              <a:srgbClr val="8EB4E3"/>
                            </a:solidFill>
                            <a:round/>
                            <a:headEnd/>
                            <a:tailEnd/>
                          </a:ln>
                        </wps:spPr>
                        <wps:txbx>
                          <w:txbxContent>
                            <w:p w14:paraId="20FF4F4A" w14:textId="77777777" w:rsidR="00640D2D" w:rsidRDefault="00640D2D" w:rsidP="00D55E4E">
                              <w:pPr>
                                <w:autoSpaceDE w:val="0"/>
                                <w:autoSpaceDN w:val="0"/>
                                <w:adjustRightInd w:val="0"/>
                                <w:jc w:val="center"/>
                                <w:rPr>
                                  <w:color w:val="FFFFFF"/>
                                  <w:sz w:val="19"/>
                                  <w:szCs w:val="24"/>
                                </w:rPr>
                              </w:pPr>
                              <w:r>
                                <w:rPr>
                                  <w:color w:val="FFFFFF"/>
                                  <w:sz w:val="19"/>
                                  <w:szCs w:val="24"/>
                                </w:rPr>
                                <w:t xml:space="preserve">Property Asset Champion </w:t>
                              </w:r>
                            </w:p>
                            <w:p w14:paraId="7D917B1B" w14:textId="77777777" w:rsidR="00640D2D" w:rsidRDefault="00640D2D" w:rsidP="00D55E4E">
                              <w:pPr>
                                <w:autoSpaceDE w:val="0"/>
                                <w:autoSpaceDN w:val="0"/>
                                <w:adjustRightInd w:val="0"/>
                                <w:jc w:val="center"/>
                                <w:rPr>
                                  <w:color w:val="FFFFFF"/>
                                  <w:sz w:val="19"/>
                                  <w:szCs w:val="24"/>
                                </w:rPr>
                              </w:pPr>
                              <w:r>
                                <w:rPr>
                                  <w:color w:val="FFFFFF"/>
                                  <w:sz w:val="19"/>
                                  <w:szCs w:val="24"/>
                                </w:rPr>
                                <w:t>Cllr Alan Smith, Deputy Mayor and Cabinet Member for Growth and Regeneration</w:t>
                              </w:r>
                            </w:p>
                            <w:p w14:paraId="512CC7F9" w14:textId="77777777" w:rsidR="00640D2D" w:rsidRDefault="00640D2D" w:rsidP="00D55E4E">
                              <w:pPr>
                                <w:autoSpaceDE w:val="0"/>
                                <w:autoSpaceDN w:val="0"/>
                                <w:adjustRightInd w:val="0"/>
                                <w:jc w:val="center"/>
                                <w:rPr>
                                  <w:color w:val="FFFFFF"/>
                                  <w:sz w:val="13"/>
                                  <w:szCs w:val="16"/>
                                </w:rPr>
                              </w:pPr>
                            </w:p>
                            <w:p w14:paraId="3E007D64" w14:textId="77777777" w:rsidR="00640D2D" w:rsidRDefault="00640D2D" w:rsidP="00D55E4E">
                              <w:pPr>
                                <w:autoSpaceDE w:val="0"/>
                                <w:autoSpaceDN w:val="0"/>
                                <w:adjustRightInd w:val="0"/>
                                <w:jc w:val="center"/>
                                <w:rPr>
                                  <w:color w:val="FFFFFF"/>
                                  <w:sz w:val="13"/>
                                  <w:szCs w:val="16"/>
                                </w:rPr>
                              </w:pPr>
                            </w:p>
                          </w:txbxContent>
                        </wps:txbx>
                        <wps:bodyPr rot="0" vert="horz" wrap="square" lIns="72238" tIns="36119" rIns="72238" bIns="36119" anchor="ctr" anchorCtr="0">
                          <a:noAutofit/>
                        </wps:bodyPr>
                      </wps:wsp>
                      <wps:wsp>
                        <wps:cNvPr id="7" name="Rounded Rectangle 17"/>
                        <wps:cNvSpPr>
                          <a:spLocks noChangeArrowheads="1"/>
                        </wps:cNvSpPr>
                        <wps:spPr bwMode="auto">
                          <a:xfrm>
                            <a:off x="4600008" y="1193431"/>
                            <a:ext cx="1915034" cy="749447"/>
                          </a:xfrm>
                          <a:prstGeom prst="roundRect">
                            <a:avLst>
                              <a:gd name="adj" fmla="val 16667"/>
                            </a:avLst>
                          </a:prstGeom>
                          <a:solidFill>
                            <a:srgbClr val="00B050">
                              <a:alpha val="50195"/>
                            </a:srgbClr>
                          </a:solidFill>
                          <a:ln w="25400">
                            <a:solidFill>
                              <a:srgbClr val="00B050"/>
                            </a:solidFill>
                            <a:round/>
                            <a:headEnd/>
                            <a:tailEnd/>
                          </a:ln>
                        </wps:spPr>
                        <wps:txbx>
                          <w:txbxContent>
                            <w:p w14:paraId="60326DBC" w14:textId="77777777" w:rsidR="00640D2D" w:rsidRDefault="00640D2D" w:rsidP="00D55E4E">
                              <w:pPr>
                                <w:autoSpaceDE w:val="0"/>
                                <w:autoSpaceDN w:val="0"/>
                                <w:adjustRightInd w:val="0"/>
                                <w:jc w:val="center"/>
                                <w:rPr>
                                  <w:color w:val="FFFFFF"/>
                                  <w:sz w:val="13"/>
                                  <w:szCs w:val="16"/>
                                </w:rPr>
                              </w:pPr>
                              <w:r>
                                <w:rPr>
                                  <w:color w:val="FFFFFF"/>
                                  <w:sz w:val="21"/>
                                  <w:szCs w:val="26"/>
                                </w:rPr>
                                <w:t>SMG Operational Asset Management</w:t>
                              </w:r>
                            </w:p>
                            <w:p w14:paraId="09A8BBFD" w14:textId="77777777" w:rsidR="00640D2D" w:rsidRDefault="00640D2D" w:rsidP="00D55E4E">
                              <w:pPr>
                                <w:autoSpaceDE w:val="0"/>
                                <w:autoSpaceDN w:val="0"/>
                                <w:adjustRightInd w:val="0"/>
                                <w:jc w:val="center"/>
                                <w:rPr>
                                  <w:color w:val="FFFFFF"/>
                                  <w:sz w:val="14"/>
                                  <w:szCs w:val="18"/>
                                </w:rPr>
                              </w:pPr>
                              <w:r>
                                <w:rPr>
                                  <w:color w:val="FFFFFF"/>
                                  <w:sz w:val="14"/>
                                  <w:szCs w:val="18"/>
                                </w:rPr>
                                <w:t>(Chairs Asset Management Board /manages Corporate AM Function)</w:t>
                              </w:r>
                            </w:p>
                          </w:txbxContent>
                        </wps:txbx>
                        <wps:bodyPr rot="0" vert="horz" wrap="square" lIns="72238" tIns="36119" rIns="72238" bIns="36119" anchor="ctr" anchorCtr="0">
                          <a:noAutofit/>
                        </wps:bodyPr>
                      </wps:wsp>
                      <wps:wsp>
                        <wps:cNvPr id="8" name="Rounded Rectangle 18"/>
                        <wps:cNvSpPr>
                          <a:spLocks noChangeArrowheads="1"/>
                        </wps:cNvSpPr>
                        <wps:spPr bwMode="auto">
                          <a:xfrm>
                            <a:off x="4257570" y="2292383"/>
                            <a:ext cx="2388340" cy="891522"/>
                          </a:xfrm>
                          <a:prstGeom prst="roundRect">
                            <a:avLst>
                              <a:gd name="adj" fmla="val 16667"/>
                            </a:avLst>
                          </a:prstGeom>
                          <a:solidFill>
                            <a:srgbClr val="00B050">
                              <a:alpha val="50195"/>
                            </a:srgbClr>
                          </a:solidFill>
                          <a:ln w="25400">
                            <a:solidFill>
                              <a:srgbClr val="00B050"/>
                            </a:solidFill>
                            <a:round/>
                            <a:headEnd/>
                            <a:tailEnd/>
                          </a:ln>
                        </wps:spPr>
                        <wps:txbx>
                          <w:txbxContent>
                            <w:p w14:paraId="2AB89643" w14:textId="77777777" w:rsidR="00640D2D" w:rsidRDefault="00640D2D" w:rsidP="00D55E4E">
                              <w:pPr>
                                <w:autoSpaceDE w:val="0"/>
                                <w:autoSpaceDN w:val="0"/>
                                <w:adjustRightInd w:val="0"/>
                                <w:jc w:val="center"/>
                                <w:rPr>
                                  <w:color w:val="FFFFFF"/>
                                  <w:sz w:val="21"/>
                                  <w:szCs w:val="26"/>
                                </w:rPr>
                              </w:pPr>
                              <w:r>
                                <w:rPr>
                                  <w:color w:val="FFFFFF"/>
                                  <w:sz w:val="21"/>
                                  <w:szCs w:val="26"/>
                                </w:rPr>
                                <w:t xml:space="preserve">Property Asset Management Functions in each Directorate </w:t>
                              </w:r>
                            </w:p>
                            <w:p w14:paraId="06694D5A" w14:textId="77777777" w:rsidR="00640D2D" w:rsidRDefault="00640D2D" w:rsidP="00D55E4E">
                              <w:pPr>
                                <w:autoSpaceDE w:val="0"/>
                                <w:autoSpaceDN w:val="0"/>
                                <w:adjustRightInd w:val="0"/>
                                <w:jc w:val="center"/>
                                <w:rPr>
                                  <w:color w:val="FFFFFF"/>
                                  <w:sz w:val="14"/>
                                  <w:szCs w:val="18"/>
                                </w:rPr>
                              </w:pPr>
                              <w:r>
                                <w:rPr>
                                  <w:color w:val="FFFFFF"/>
                                  <w:sz w:val="14"/>
                                  <w:szCs w:val="18"/>
                                </w:rPr>
                                <w:t>(Supports  Property Asset Management Board )</w:t>
                              </w:r>
                            </w:p>
                          </w:txbxContent>
                        </wps:txbx>
                        <wps:bodyPr rot="0" vert="horz" wrap="square" lIns="72238" tIns="36119" rIns="72238" bIns="36119" anchor="ctr" anchorCtr="0">
                          <a:noAutofit/>
                        </wps:bodyPr>
                      </wps:wsp>
                      <wps:wsp>
                        <wps:cNvPr id="9" name="Up-Down Arrow 19"/>
                        <wps:cNvSpPr>
                          <a:spLocks noChangeArrowheads="1"/>
                        </wps:cNvSpPr>
                        <wps:spPr bwMode="auto">
                          <a:xfrm>
                            <a:off x="5394667" y="681250"/>
                            <a:ext cx="114146" cy="483766"/>
                          </a:xfrm>
                          <a:prstGeom prst="upDownArrow">
                            <a:avLst>
                              <a:gd name="adj1" fmla="val 50000"/>
                              <a:gd name="adj2" fmla="val 51027"/>
                            </a:avLst>
                          </a:prstGeom>
                          <a:solidFill>
                            <a:srgbClr val="95B3D7">
                              <a:alpha val="50195"/>
                            </a:srgbClr>
                          </a:solidFill>
                          <a:ln w="25400">
                            <a:solidFill>
                              <a:srgbClr val="8EB4E3"/>
                            </a:solidFill>
                            <a:miter lim="800000"/>
                            <a:headEnd/>
                            <a:tailEnd/>
                          </a:ln>
                        </wps:spPr>
                        <wps:txbx>
                          <w:txbxContent>
                            <w:p w14:paraId="11E99B64"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10" name="Up-Down Arrow 20"/>
                        <wps:cNvSpPr>
                          <a:spLocks noChangeArrowheads="1"/>
                        </wps:cNvSpPr>
                        <wps:spPr bwMode="auto">
                          <a:xfrm>
                            <a:off x="5384489" y="1942878"/>
                            <a:ext cx="129414" cy="331746"/>
                          </a:xfrm>
                          <a:prstGeom prst="upDownArrow">
                            <a:avLst>
                              <a:gd name="adj1" fmla="val 50000"/>
                              <a:gd name="adj2" fmla="val 37994"/>
                            </a:avLst>
                          </a:prstGeom>
                          <a:solidFill>
                            <a:srgbClr val="95B3D7">
                              <a:alpha val="50195"/>
                            </a:srgbClr>
                          </a:solidFill>
                          <a:ln w="25400">
                            <a:solidFill>
                              <a:srgbClr val="8EB4E3"/>
                            </a:solidFill>
                            <a:miter lim="800000"/>
                            <a:headEnd/>
                            <a:tailEnd/>
                          </a:ln>
                        </wps:spPr>
                        <wps:txbx>
                          <w:txbxContent>
                            <w:p w14:paraId="3CF417AC"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11" name="Up-Down Arrow 21"/>
                        <wps:cNvSpPr>
                          <a:spLocks noChangeArrowheads="1"/>
                        </wps:cNvSpPr>
                        <wps:spPr bwMode="auto">
                          <a:xfrm rot="16200000">
                            <a:off x="4114949" y="1129388"/>
                            <a:ext cx="113660" cy="753218"/>
                          </a:xfrm>
                          <a:prstGeom prst="upDownArrow">
                            <a:avLst>
                              <a:gd name="adj1" fmla="val 50000"/>
                              <a:gd name="adj2" fmla="val 48862"/>
                            </a:avLst>
                          </a:prstGeom>
                          <a:solidFill>
                            <a:srgbClr val="95B3D7">
                              <a:alpha val="50195"/>
                            </a:srgbClr>
                          </a:solidFill>
                          <a:ln w="25400">
                            <a:solidFill>
                              <a:srgbClr val="8EB4E3"/>
                            </a:solidFill>
                            <a:miter lim="800000"/>
                            <a:headEnd/>
                            <a:tailEnd/>
                          </a:ln>
                        </wps:spPr>
                        <wps:txbx>
                          <w:txbxContent>
                            <w:p w14:paraId="6D4053CC"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s:wsp>
                        <wps:cNvPr id="12" name="Up-Down Arrow 22"/>
                        <wps:cNvSpPr>
                          <a:spLocks noChangeArrowheads="1"/>
                        </wps:cNvSpPr>
                        <wps:spPr bwMode="auto">
                          <a:xfrm rot="13440000">
                            <a:off x="3884597" y="506498"/>
                            <a:ext cx="113419" cy="752998"/>
                          </a:xfrm>
                          <a:prstGeom prst="upDownArrow">
                            <a:avLst>
                              <a:gd name="adj1" fmla="val 50000"/>
                              <a:gd name="adj2" fmla="val 51276"/>
                            </a:avLst>
                          </a:prstGeom>
                          <a:solidFill>
                            <a:srgbClr val="95B3D7">
                              <a:alpha val="50195"/>
                            </a:srgbClr>
                          </a:solidFill>
                          <a:ln w="25400">
                            <a:solidFill>
                              <a:srgbClr val="8EB4E3"/>
                            </a:solidFill>
                            <a:miter lim="800000"/>
                            <a:headEnd/>
                            <a:tailEnd/>
                          </a:ln>
                        </wps:spPr>
                        <wps:txbx>
                          <w:txbxContent>
                            <w:p w14:paraId="2047A781" w14:textId="77777777" w:rsidR="00640D2D" w:rsidRDefault="00640D2D" w:rsidP="00D55E4E">
                              <w:pPr>
                                <w:autoSpaceDE w:val="0"/>
                                <w:autoSpaceDN w:val="0"/>
                                <w:adjustRightInd w:val="0"/>
                                <w:jc w:val="center"/>
                                <w:rPr>
                                  <w:color w:val="FFFFFF"/>
                                  <w:sz w:val="28"/>
                                  <w:szCs w:val="36"/>
                                </w:rPr>
                              </w:pPr>
                            </w:p>
                          </w:txbxContent>
                        </wps:txbx>
                        <wps:bodyPr rot="10800000" vert="horz" wrap="square" lIns="72238" tIns="36119" rIns="72238" bIns="36119" anchor="ctr" anchorCtr="0">
                          <a:noAutofit/>
                        </wps:bodyPr>
                      </wps:wsp>
                      <wps:wsp>
                        <wps:cNvPr id="13" name="Up-Down Arrow 23"/>
                        <wps:cNvSpPr>
                          <a:spLocks noChangeArrowheads="1"/>
                        </wps:cNvSpPr>
                        <wps:spPr bwMode="auto">
                          <a:xfrm rot="16200000">
                            <a:off x="3925926" y="130654"/>
                            <a:ext cx="114371" cy="376609"/>
                          </a:xfrm>
                          <a:prstGeom prst="upDownArrow">
                            <a:avLst>
                              <a:gd name="adj1" fmla="val 50000"/>
                              <a:gd name="adj2" fmla="val 48559"/>
                            </a:avLst>
                          </a:prstGeom>
                          <a:solidFill>
                            <a:srgbClr val="95B3D7">
                              <a:alpha val="50195"/>
                            </a:srgbClr>
                          </a:solidFill>
                          <a:ln w="25400">
                            <a:solidFill>
                              <a:srgbClr val="8EB4E3"/>
                            </a:solidFill>
                            <a:miter lim="800000"/>
                            <a:headEnd/>
                            <a:tailEnd/>
                          </a:ln>
                        </wps:spPr>
                        <wps:txbx>
                          <w:txbxContent>
                            <w:p w14:paraId="132E4C18"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s:wsp>
                        <wps:cNvPr id="14" name="Up-Down Arrow 25"/>
                        <wps:cNvSpPr>
                          <a:spLocks noChangeArrowheads="1"/>
                        </wps:cNvSpPr>
                        <wps:spPr bwMode="auto">
                          <a:xfrm rot="16200000">
                            <a:off x="2942452" y="1402494"/>
                            <a:ext cx="132840" cy="2460317"/>
                          </a:xfrm>
                          <a:prstGeom prst="upDownArrow">
                            <a:avLst>
                              <a:gd name="adj1" fmla="val 50000"/>
                              <a:gd name="adj2" fmla="val 48592"/>
                            </a:avLst>
                          </a:prstGeom>
                          <a:solidFill>
                            <a:srgbClr val="95B3D7">
                              <a:alpha val="50195"/>
                            </a:srgbClr>
                          </a:solidFill>
                          <a:ln w="25400">
                            <a:solidFill>
                              <a:srgbClr val="8EB4E3"/>
                            </a:solidFill>
                            <a:miter lim="800000"/>
                            <a:headEnd/>
                            <a:tailEnd/>
                          </a:ln>
                        </wps:spPr>
                        <wps:txbx>
                          <w:txbxContent>
                            <w:p w14:paraId="4CA0D921"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s:wsp>
                        <wps:cNvPr id="15" name="Up Arrow 29"/>
                        <wps:cNvSpPr>
                          <a:spLocks noChangeArrowheads="1"/>
                        </wps:cNvSpPr>
                        <wps:spPr bwMode="auto">
                          <a:xfrm>
                            <a:off x="170128" y="1855502"/>
                            <a:ext cx="142501" cy="516443"/>
                          </a:xfrm>
                          <a:prstGeom prst="upArrow">
                            <a:avLst>
                              <a:gd name="adj1" fmla="val 50000"/>
                              <a:gd name="adj2" fmla="val 51018"/>
                            </a:avLst>
                          </a:prstGeom>
                          <a:solidFill>
                            <a:srgbClr val="95B3D7">
                              <a:alpha val="70195"/>
                            </a:srgbClr>
                          </a:solidFill>
                          <a:ln w="25400">
                            <a:solidFill>
                              <a:srgbClr val="8EB4E3"/>
                            </a:solidFill>
                            <a:miter lim="800000"/>
                            <a:headEnd/>
                            <a:tailEnd/>
                          </a:ln>
                        </wps:spPr>
                        <wps:txbx>
                          <w:txbxContent>
                            <w:p w14:paraId="66A0B28C"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16" name="Up-Down Arrow 31"/>
                        <wps:cNvSpPr>
                          <a:spLocks noChangeArrowheads="1"/>
                        </wps:cNvSpPr>
                        <wps:spPr bwMode="auto">
                          <a:xfrm rot="16200000">
                            <a:off x="3502392" y="2353435"/>
                            <a:ext cx="142786" cy="1366843"/>
                          </a:xfrm>
                          <a:prstGeom prst="upDownArrow">
                            <a:avLst>
                              <a:gd name="adj1" fmla="val 50000"/>
                              <a:gd name="adj2" fmla="val 48758"/>
                            </a:avLst>
                          </a:prstGeom>
                          <a:solidFill>
                            <a:srgbClr val="95B3D7">
                              <a:alpha val="50195"/>
                            </a:srgbClr>
                          </a:solidFill>
                          <a:ln w="25400">
                            <a:solidFill>
                              <a:srgbClr val="8EB4E3"/>
                            </a:solidFill>
                            <a:miter lim="800000"/>
                            <a:headEnd/>
                            <a:tailEnd/>
                          </a:ln>
                        </wps:spPr>
                        <wps:txbx>
                          <w:txbxContent>
                            <w:p w14:paraId="04AA063C"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s:wsp>
                        <wps:cNvPr id="17" name="Rounded Rectangle 9"/>
                        <wps:cNvSpPr>
                          <a:spLocks noChangeArrowheads="1"/>
                        </wps:cNvSpPr>
                        <wps:spPr bwMode="auto">
                          <a:xfrm>
                            <a:off x="29809" y="2371945"/>
                            <a:ext cx="1157454" cy="625841"/>
                          </a:xfrm>
                          <a:prstGeom prst="roundRect">
                            <a:avLst>
                              <a:gd name="adj" fmla="val 16667"/>
                            </a:avLst>
                          </a:prstGeom>
                          <a:solidFill>
                            <a:srgbClr val="4F81BD">
                              <a:alpha val="85097"/>
                            </a:srgbClr>
                          </a:solidFill>
                          <a:ln w="25400">
                            <a:solidFill>
                              <a:srgbClr val="8EB4E3"/>
                            </a:solidFill>
                            <a:round/>
                            <a:headEnd/>
                            <a:tailEnd/>
                          </a:ln>
                        </wps:spPr>
                        <wps:txbx>
                          <w:txbxContent>
                            <w:p w14:paraId="526AE647" w14:textId="77777777" w:rsidR="00640D2D" w:rsidRDefault="00640D2D" w:rsidP="00D55E4E">
                              <w:pPr>
                                <w:autoSpaceDE w:val="0"/>
                                <w:autoSpaceDN w:val="0"/>
                                <w:adjustRightInd w:val="0"/>
                                <w:rPr>
                                  <w:color w:val="FFFFFF"/>
                                  <w:sz w:val="13"/>
                                  <w:szCs w:val="16"/>
                                </w:rPr>
                              </w:pPr>
                              <w:r>
                                <w:rPr>
                                  <w:color w:val="FFFFFF"/>
                                  <w:sz w:val="13"/>
                                  <w:szCs w:val="16"/>
                                </w:rPr>
                                <w:t>Resources  &amp;</w:t>
                              </w:r>
                            </w:p>
                            <w:p w14:paraId="6A1101E4" w14:textId="77777777" w:rsidR="00640D2D" w:rsidRDefault="00640D2D" w:rsidP="00D55E4E">
                              <w:pPr>
                                <w:autoSpaceDE w:val="0"/>
                                <w:autoSpaceDN w:val="0"/>
                                <w:adjustRightInd w:val="0"/>
                                <w:rPr>
                                  <w:color w:val="FFFFFF"/>
                                  <w:sz w:val="13"/>
                                  <w:szCs w:val="16"/>
                                </w:rPr>
                              </w:pPr>
                              <w:r>
                                <w:rPr>
                                  <w:color w:val="FFFFFF"/>
                                  <w:sz w:val="13"/>
                                  <w:szCs w:val="16"/>
                                </w:rPr>
                                <w:t xml:space="preserve"> Regeneration</w:t>
                              </w:r>
                            </w:p>
                          </w:txbxContent>
                        </wps:txbx>
                        <wps:bodyPr rot="0" vert="horz" wrap="square" lIns="72238" tIns="36119" rIns="72238" bIns="36119" anchor="t" anchorCtr="0">
                          <a:noAutofit/>
                        </wps:bodyPr>
                      </wps:wsp>
                      <wps:wsp>
                        <wps:cNvPr id="18" name="Rounded Rectangle 7"/>
                        <wps:cNvSpPr>
                          <a:spLocks noChangeArrowheads="1"/>
                        </wps:cNvSpPr>
                        <wps:spPr bwMode="auto">
                          <a:xfrm>
                            <a:off x="626712" y="2542435"/>
                            <a:ext cx="1152365" cy="625131"/>
                          </a:xfrm>
                          <a:prstGeom prst="roundRect">
                            <a:avLst>
                              <a:gd name="adj" fmla="val 16667"/>
                            </a:avLst>
                          </a:prstGeom>
                          <a:solidFill>
                            <a:srgbClr val="4F81BD">
                              <a:alpha val="85097"/>
                            </a:srgbClr>
                          </a:solidFill>
                          <a:ln w="25400">
                            <a:solidFill>
                              <a:srgbClr val="8EB4E3"/>
                            </a:solidFill>
                            <a:round/>
                            <a:headEnd/>
                            <a:tailEnd/>
                          </a:ln>
                        </wps:spPr>
                        <wps:txbx>
                          <w:txbxContent>
                            <w:p w14:paraId="0AE98349" w14:textId="77777777" w:rsidR="00640D2D" w:rsidRDefault="00640D2D" w:rsidP="00D55E4E">
                              <w:pPr>
                                <w:autoSpaceDE w:val="0"/>
                                <w:autoSpaceDN w:val="0"/>
                                <w:adjustRightInd w:val="0"/>
                                <w:rPr>
                                  <w:color w:val="FFFFFF"/>
                                  <w:sz w:val="13"/>
                                  <w:szCs w:val="16"/>
                                </w:rPr>
                              </w:pPr>
                              <w:r>
                                <w:rPr>
                                  <w:color w:val="FFFFFF"/>
                                  <w:sz w:val="13"/>
                                  <w:szCs w:val="16"/>
                                </w:rPr>
                                <w:t xml:space="preserve">Community </w:t>
                              </w:r>
                            </w:p>
                            <w:p w14:paraId="3B5E4B68" w14:textId="77777777" w:rsidR="00640D2D" w:rsidRDefault="00640D2D" w:rsidP="00D55E4E">
                              <w:pPr>
                                <w:autoSpaceDE w:val="0"/>
                                <w:autoSpaceDN w:val="0"/>
                                <w:adjustRightInd w:val="0"/>
                                <w:rPr>
                                  <w:color w:val="FFFFFF"/>
                                  <w:sz w:val="13"/>
                                  <w:szCs w:val="16"/>
                                </w:rPr>
                              </w:pPr>
                              <w:r>
                                <w:rPr>
                                  <w:color w:val="FFFFFF"/>
                                  <w:sz w:val="13"/>
                                  <w:szCs w:val="16"/>
                                </w:rPr>
                                <w:t>Services</w:t>
                              </w:r>
                            </w:p>
                          </w:txbxContent>
                        </wps:txbx>
                        <wps:bodyPr rot="0" vert="horz" wrap="square" lIns="72238" tIns="36119" rIns="72238" bIns="36119" anchor="t" anchorCtr="0">
                          <a:noAutofit/>
                        </wps:bodyPr>
                      </wps:wsp>
                      <wps:wsp>
                        <wps:cNvPr id="19" name="Rounded Rectangle 6"/>
                        <wps:cNvSpPr>
                          <a:spLocks noChangeArrowheads="1"/>
                        </wps:cNvSpPr>
                        <wps:spPr bwMode="auto">
                          <a:xfrm>
                            <a:off x="1161089" y="2724291"/>
                            <a:ext cx="1160362" cy="625131"/>
                          </a:xfrm>
                          <a:prstGeom prst="roundRect">
                            <a:avLst>
                              <a:gd name="adj" fmla="val 16667"/>
                            </a:avLst>
                          </a:prstGeom>
                          <a:solidFill>
                            <a:srgbClr val="4F81BD">
                              <a:alpha val="85097"/>
                            </a:srgbClr>
                          </a:solidFill>
                          <a:ln w="25400">
                            <a:solidFill>
                              <a:srgbClr val="8EB4E3"/>
                            </a:solidFill>
                            <a:round/>
                            <a:headEnd/>
                            <a:tailEnd/>
                          </a:ln>
                        </wps:spPr>
                        <wps:txbx>
                          <w:txbxContent>
                            <w:p w14:paraId="59DCB825" w14:textId="77777777" w:rsidR="00640D2D" w:rsidRDefault="00640D2D" w:rsidP="00D55E4E">
                              <w:pPr>
                                <w:autoSpaceDE w:val="0"/>
                                <w:autoSpaceDN w:val="0"/>
                                <w:adjustRightInd w:val="0"/>
                                <w:rPr>
                                  <w:color w:val="FFFFFF"/>
                                  <w:sz w:val="13"/>
                                  <w:szCs w:val="16"/>
                                </w:rPr>
                              </w:pPr>
                              <w:r>
                                <w:rPr>
                                  <w:color w:val="FFFFFF"/>
                                  <w:sz w:val="13"/>
                                  <w:szCs w:val="16"/>
                                </w:rPr>
                                <w:t>CYP</w:t>
                              </w:r>
                            </w:p>
                          </w:txbxContent>
                        </wps:txbx>
                        <wps:bodyPr rot="0" vert="horz" wrap="square" lIns="72238" tIns="36119" rIns="72238" bIns="36119" anchor="t" anchorCtr="0">
                          <a:noAutofit/>
                        </wps:bodyPr>
                      </wps:wsp>
                      <wps:wsp>
                        <wps:cNvPr id="20" name="Rounded Rectangle 8"/>
                        <wps:cNvSpPr>
                          <a:spLocks noChangeArrowheads="1"/>
                        </wps:cNvSpPr>
                        <wps:spPr bwMode="auto">
                          <a:xfrm>
                            <a:off x="1704191" y="2899754"/>
                            <a:ext cx="1161089" cy="625131"/>
                          </a:xfrm>
                          <a:prstGeom prst="roundRect">
                            <a:avLst>
                              <a:gd name="adj" fmla="val 16667"/>
                            </a:avLst>
                          </a:prstGeom>
                          <a:solidFill>
                            <a:srgbClr val="4F81BD">
                              <a:alpha val="85097"/>
                            </a:srgbClr>
                          </a:solidFill>
                          <a:ln w="25400">
                            <a:solidFill>
                              <a:srgbClr val="8EB4E3"/>
                            </a:solidFill>
                            <a:round/>
                            <a:headEnd/>
                            <a:tailEnd/>
                          </a:ln>
                        </wps:spPr>
                        <wps:txbx>
                          <w:txbxContent>
                            <w:p w14:paraId="74F74FB0" w14:textId="77777777" w:rsidR="00640D2D" w:rsidRDefault="00640D2D" w:rsidP="00D55E4E">
                              <w:pPr>
                                <w:autoSpaceDE w:val="0"/>
                                <w:autoSpaceDN w:val="0"/>
                                <w:adjustRightInd w:val="0"/>
                                <w:rPr>
                                  <w:color w:val="FFFFFF"/>
                                  <w:sz w:val="13"/>
                                  <w:szCs w:val="16"/>
                                </w:rPr>
                              </w:pPr>
                              <w:r>
                                <w:rPr>
                                  <w:color w:val="FFFFFF"/>
                                  <w:sz w:val="13"/>
                                  <w:szCs w:val="16"/>
                                </w:rPr>
                                <w:t>Customer Services</w:t>
                              </w:r>
                            </w:p>
                          </w:txbxContent>
                        </wps:txbx>
                        <wps:bodyPr rot="0" vert="horz" wrap="square" lIns="72238" tIns="36119" rIns="72238" bIns="36119" anchor="t" anchorCtr="0">
                          <a:noAutofit/>
                        </wps:bodyPr>
                      </wps:wsp>
                      <wps:wsp>
                        <wps:cNvPr id="21" name="Up Arrow 30"/>
                        <wps:cNvSpPr>
                          <a:spLocks noChangeArrowheads="1"/>
                        </wps:cNvSpPr>
                        <wps:spPr bwMode="auto">
                          <a:xfrm>
                            <a:off x="766304" y="1848398"/>
                            <a:ext cx="142501" cy="694037"/>
                          </a:xfrm>
                          <a:prstGeom prst="upArrow">
                            <a:avLst>
                              <a:gd name="adj1" fmla="val 50000"/>
                              <a:gd name="adj2" fmla="val 51047"/>
                            </a:avLst>
                          </a:prstGeom>
                          <a:solidFill>
                            <a:srgbClr val="95B3D7">
                              <a:alpha val="70195"/>
                            </a:srgbClr>
                          </a:solidFill>
                          <a:ln w="25400">
                            <a:solidFill>
                              <a:srgbClr val="8EB4E3"/>
                            </a:solidFill>
                            <a:miter lim="800000"/>
                            <a:headEnd/>
                            <a:tailEnd/>
                          </a:ln>
                        </wps:spPr>
                        <wps:txbx>
                          <w:txbxContent>
                            <w:p w14:paraId="2D315D0D"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22" name="Up Arrow 33"/>
                        <wps:cNvSpPr>
                          <a:spLocks noChangeArrowheads="1"/>
                        </wps:cNvSpPr>
                        <wps:spPr bwMode="auto">
                          <a:xfrm>
                            <a:off x="1336307" y="1855502"/>
                            <a:ext cx="141774" cy="868790"/>
                          </a:xfrm>
                          <a:prstGeom prst="upArrow">
                            <a:avLst>
                              <a:gd name="adj1" fmla="val 50000"/>
                              <a:gd name="adj2" fmla="val 51336"/>
                            </a:avLst>
                          </a:prstGeom>
                          <a:solidFill>
                            <a:srgbClr val="95B3D7">
                              <a:alpha val="70195"/>
                            </a:srgbClr>
                          </a:solidFill>
                          <a:ln w="25400">
                            <a:solidFill>
                              <a:srgbClr val="8EB4E3"/>
                            </a:solidFill>
                            <a:miter lim="800000"/>
                            <a:headEnd/>
                            <a:tailEnd/>
                          </a:ln>
                        </wps:spPr>
                        <wps:txbx>
                          <w:txbxContent>
                            <w:p w14:paraId="6F7B0668"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23" name="Up Arrow 34"/>
                        <wps:cNvSpPr>
                          <a:spLocks noChangeArrowheads="1"/>
                        </wps:cNvSpPr>
                        <wps:spPr bwMode="auto">
                          <a:xfrm>
                            <a:off x="1899039" y="1855502"/>
                            <a:ext cx="147590" cy="1044253"/>
                          </a:xfrm>
                          <a:prstGeom prst="upArrow">
                            <a:avLst>
                              <a:gd name="adj1" fmla="val 50000"/>
                              <a:gd name="adj2" fmla="val 51193"/>
                            </a:avLst>
                          </a:prstGeom>
                          <a:solidFill>
                            <a:srgbClr val="95B3D7">
                              <a:alpha val="70195"/>
                            </a:srgbClr>
                          </a:solidFill>
                          <a:ln w="25400">
                            <a:solidFill>
                              <a:srgbClr val="8EB4E3"/>
                            </a:solidFill>
                            <a:miter lim="800000"/>
                            <a:headEnd/>
                            <a:tailEnd/>
                          </a:ln>
                        </wps:spPr>
                        <wps:txbx>
                          <w:txbxContent>
                            <w:p w14:paraId="083F8625" w14:textId="77777777" w:rsidR="00640D2D" w:rsidRDefault="00640D2D" w:rsidP="00D55E4E">
                              <w:pPr>
                                <w:autoSpaceDE w:val="0"/>
                                <w:autoSpaceDN w:val="0"/>
                                <w:adjustRightInd w:val="0"/>
                                <w:jc w:val="center"/>
                                <w:rPr>
                                  <w:color w:val="FFFFFF"/>
                                  <w:sz w:val="28"/>
                                  <w:szCs w:val="36"/>
                                </w:rPr>
                              </w:pPr>
                            </w:p>
                          </w:txbxContent>
                        </wps:txbx>
                        <wps:bodyPr rot="0" vert="horz" wrap="square" lIns="72238" tIns="36119" rIns="72238" bIns="36119" anchor="ctr" anchorCtr="0">
                          <a:noAutofit/>
                        </wps:bodyPr>
                      </wps:wsp>
                      <wps:wsp>
                        <wps:cNvPr id="24" name="Up-Down Arrow 24"/>
                        <wps:cNvSpPr>
                          <a:spLocks noChangeArrowheads="1"/>
                        </wps:cNvSpPr>
                        <wps:spPr bwMode="auto">
                          <a:xfrm rot="18840000">
                            <a:off x="3980646" y="1659110"/>
                            <a:ext cx="130709" cy="710322"/>
                          </a:xfrm>
                          <a:prstGeom prst="upDownArrow">
                            <a:avLst>
                              <a:gd name="adj1" fmla="val 50000"/>
                              <a:gd name="adj2" fmla="val 48919"/>
                            </a:avLst>
                          </a:prstGeom>
                          <a:solidFill>
                            <a:srgbClr val="95B3D7">
                              <a:alpha val="50195"/>
                            </a:srgbClr>
                          </a:solidFill>
                          <a:ln w="25400">
                            <a:solidFill>
                              <a:srgbClr val="8EB4E3"/>
                            </a:solidFill>
                            <a:miter lim="800000"/>
                            <a:headEnd/>
                            <a:tailEnd/>
                          </a:ln>
                        </wps:spPr>
                        <wps:txbx>
                          <w:txbxContent>
                            <w:p w14:paraId="7F79A90C"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s:wsp>
                        <wps:cNvPr id="25" name="Up-Down Arrow 27"/>
                        <wps:cNvSpPr>
                          <a:spLocks noChangeArrowheads="1"/>
                        </wps:cNvSpPr>
                        <wps:spPr bwMode="auto">
                          <a:xfrm rot="16200000">
                            <a:off x="3240657" y="1882841"/>
                            <a:ext cx="142786" cy="1891042"/>
                          </a:xfrm>
                          <a:prstGeom prst="upDownArrow">
                            <a:avLst>
                              <a:gd name="adj1" fmla="val 50000"/>
                              <a:gd name="adj2" fmla="val 48766"/>
                            </a:avLst>
                          </a:prstGeom>
                          <a:solidFill>
                            <a:srgbClr val="95B3D7">
                              <a:alpha val="50195"/>
                            </a:srgbClr>
                          </a:solidFill>
                          <a:ln w="25400">
                            <a:solidFill>
                              <a:srgbClr val="8EB4E3"/>
                            </a:solidFill>
                            <a:miter lim="800000"/>
                            <a:headEnd/>
                            <a:tailEnd/>
                          </a:ln>
                        </wps:spPr>
                        <wps:txbx>
                          <w:txbxContent>
                            <w:p w14:paraId="22E9BDE8"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s:wsp>
                        <wps:cNvPr id="26" name="Up-Down Arrow 28"/>
                        <wps:cNvSpPr>
                          <a:spLocks noChangeArrowheads="1"/>
                        </wps:cNvSpPr>
                        <wps:spPr bwMode="auto">
                          <a:xfrm rot="16200000">
                            <a:off x="2650288" y="902676"/>
                            <a:ext cx="142075" cy="3055039"/>
                          </a:xfrm>
                          <a:prstGeom prst="upDownArrow">
                            <a:avLst>
                              <a:gd name="adj1" fmla="val 50000"/>
                              <a:gd name="adj2" fmla="val 49023"/>
                            </a:avLst>
                          </a:prstGeom>
                          <a:solidFill>
                            <a:srgbClr val="95B3D7">
                              <a:alpha val="50195"/>
                            </a:srgbClr>
                          </a:solidFill>
                          <a:ln w="25400">
                            <a:solidFill>
                              <a:srgbClr val="8EB4E3"/>
                            </a:solidFill>
                            <a:miter lim="800000"/>
                            <a:headEnd/>
                            <a:tailEnd/>
                          </a:ln>
                        </wps:spPr>
                        <wps:txbx>
                          <w:txbxContent>
                            <w:p w14:paraId="06E3A457" w14:textId="77777777" w:rsidR="00640D2D" w:rsidRDefault="00640D2D" w:rsidP="00D55E4E">
                              <w:pPr>
                                <w:autoSpaceDE w:val="0"/>
                                <w:autoSpaceDN w:val="0"/>
                                <w:adjustRightInd w:val="0"/>
                                <w:jc w:val="center"/>
                                <w:rPr>
                                  <w:color w:val="FFFFFF"/>
                                  <w:sz w:val="28"/>
                                  <w:szCs w:val="36"/>
                                </w:rPr>
                              </w:pPr>
                            </w:p>
                          </w:txbxContent>
                        </wps:txbx>
                        <wps:bodyPr rot="5400000" vert="horz" wrap="square" lIns="72238" tIns="36119" rIns="72238" bIns="36119" anchor="ctr" anchorCtr="0">
                          <a:noAutofit/>
                        </wps:bodyPr>
                      </wps:wsp>
                    </wpc:wpc>
                  </a:graphicData>
                </a:graphic>
              </wp:inline>
            </w:drawing>
          </mc:Choice>
          <mc:Fallback>
            <w:pict>
              <v:group id="Canvas 2" o:spid="_x0000_s1026" editas="canvas" style="width:523.3pt;height:277.55pt;mso-position-horizontal-relative:char;mso-position-vertical-relative:line" coordsize="66459,3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35248;visibility:visible;mso-wrap-style:square">
                  <v:fill o:detectmouseclick="t"/>
                  <v:path o:connecttype="none"/>
                </v:shape>
                <v:roundrect id="Rounded Rectangle 3" o:spid="_x0000_s1028" style="position:absolute;width:37522;height:6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C+b8A&#10;AADaAAAADwAAAGRycy9kb3ducmV2LnhtbERPS2sCMRC+F/ofwhS81Ww9FNkapRQr9lLwAb0Om+lu&#10;6GYSM1HXf98Igqfh43vObDH4Xp0oiQts4GVcgSJugnXcGtjvPp+noCQjW+wDk4ELCSzmjw8zrG04&#10;84ZO29yqEsJSo4Eu51hrLU1HHmUcInHhfkPymAtMrbYJzyXc93pSVa/ao+PS0GGkj46av+3RG4hy&#10;cHLcr5bxZ1PJcvKVvg8uGTN6Gt7fQGUa8l18c69tmQ/XV65Xz/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ZoL5vwAAANoAAAAPAAAAAAAAAAAAAAAAAJgCAABkcnMvZG93bnJl&#10;di54bWxQSwUGAAAAAAQABAD1AAAAhAMAAAAA&#10;" fillcolor="#4f81bd" strokecolor="#8eb4e3" strokeweight="2pt">
                  <v:fill opacity="32896f"/>
                  <v:textbox inset="2.00661mm,1.0033mm,2.00661mm,1.0033mm">
                    <w:txbxContent>
                      <w:p w14:paraId="671227C7" w14:textId="77777777" w:rsidR="00640D2D" w:rsidRDefault="00640D2D" w:rsidP="00D55E4E">
                        <w:pPr>
                          <w:autoSpaceDE w:val="0"/>
                          <w:autoSpaceDN w:val="0"/>
                          <w:adjustRightInd w:val="0"/>
                          <w:jc w:val="center"/>
                          <w:rPr>
                            <w:color w:val="FFFFFF"/>
                            <w:sz w:val="21"/>
                            <w:szCs w:val="26"/>
                          </w:rPr>
                        </w:pPr>
                        <w:r>
                          <w:rPr>
                            <w:color w:val="FFFFFF"/>
                            <w:sz w:val="21"/>
                            <w:szCs w:val="26"/>
                          </w:rPr>
                          <w:t>Regeneration Board</w:t>
                        </w:r>
                      </w:p>
                      <w:p w14:paraId="3E8CFA03" w14:textId="77777777" w:rsidR="00640D2D" w:rsidRDefault="00640D2D" w:rsidP="00D55E4E">
                        <w:pPr>
                          <w:autoSpaceDE w:val="0"/>
                          <w:autoSpaceDN w:val="0"/>
                          <w:adjustRightInd w:val="0"/>
                          <w:jc w:val="center"/>
                          <w:rPr>
                            <w:color w:val="FFFFFF"/>
                            <w:sz w:val="13"/>
                            <w:szCs w:val="16"/>
                          </w:rPr>
                        </w:pPr>
                      </w:p>
                      <w:p w14:paraId="416018DC" w14:textId="77777777" w:rsidR="00640D2D" w:rsidRDefault="00640D2D" w:rsidP="00D55E4E">
                        <w:pPr>
                          <w:autoSpaceDE w:val="0"/>
                          <w:autoSpaceDN w:val="0"/>
                          <w:adjustRightInd w:val="0"/>
                          <w:jc w:val="center"/>
                          <w:rPr>
                            <w:color w:val="FFFFFF"/>
                            <w:sz w:val="14"/>
                            <w:szCs w:val="18"/>
                          </w:rPr>
                        </w:pPr>
                        <w:r>
                          <w:rPr>
                            <w:color w:val="FFFFFF"/>
                            <w:sz w:val="14"/>
                            <w:szCs w:val="18"/>
                          </w:rPr>
                          <w:t xml:space="preserve">(corporate decision making body) </w:t>
                        </w:r>
                      </w:p>
                    </w:txbxContent>
                  </v:textbox>
                </v:roundrect>
                <v:roundrect id="Rounded Rectangle 4" o:spid="_x0000_s1029" style="position:absolute;top:11934;width:37522;height:6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1fsQA&#10;AADaAAAADwAAAGRycy9kb3ducmV2LnhtbESPQWvCQBSE70L/w/IK3symWtuSuooKghcR0yJ4e2Sf&#10;Seju25BdNfXXu4LgcZiZb5jJrLNGnKn1tWMFb0kKgrhwuuZSwe/PavAFwgdkjcYxKfgnD7PpS2+C&#10;mXYX3tE5D6WIEPYZKqhCaDIpfVGRRZ+4hjh6R9daDFG2pdQtXiLcGjlM0w9psea4UGFDy4qKv/xk&#10;FeTzPe+3i/fT+tAtrp9HczCjzVip/ms3/wYRqAvP8KO91gpG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NX7EAAAA2gAAAA8AAAAAAAAAAAAAAAAAmAIAAGRycy9k&#10;b3ducmV2LnhtbFBLBQYAAAAABAAEAPUAAACJAwAAAAA=&#10;" fillcolor="#00b050" strokecolor="#00b050" strokeweight="2pt">
                  <v:fill opacity="32896f"/>
                  <v:textbox inset="2.00661mm,1.0033mm,2.00661mm,1.0033mm">
                    <w:txbxContent>
                      <w:p w14:paraId="766D0A98" w14:textId="77777777" w:rsidR="00640D2D" w:rsidRDefault="00640D2D" w:rsidP="00D55E4E">
                        <w:pPr>
                          <w:autoSpaceDE w:val="0"/>
                          <w:autoSpaceDN w:val="0"/>
                          <w:adjustRightInd w:val="0"/>
                          <w:jc w:val="center"/>
                          <w:rPr>
                            <w:color w:val="FFFFFF"/>
                            <w:sz w:val="21"/>
                            <w:szCs w:val="26"/>
                          </w:rPr>
                        </w:pPr>
                        <w:r>
                          <w:rPr>
                            <w:color w:val="FFFFFF"/>
                            <w:sz w:val="21"/>
                            <w:szCs w:val="26"/>
                          </w:rPr>
                          <w:t>Asset Management Board</w:t>
                        </w:r>
                      </w:p>
                      <w:p w14:paraId="503C65D3" w14:textId="77777777" w:rsidR="00640D2D" w:rsidRDefault="00640D2D" w:rsidP="00D55E4E">
                        <w:pPr>
                          <w:autoSpaceDE w:val="0"/>
                          <w:autoSpaceDN w:val="0"/>
                          <w:adjustRightInd w:val="0"/>
                          <w:jc w:val="center"/>
                          <w:rPr>
                            <w:color w:val="FFFFFF"/>
                            <w:sz w:val="13"/>
                            <w:szCs w:val="16"/>
                          </w:rPr>
                        </w:pPr>
                      </w:p>
                      <w:p w14:paraId="381B2C31" w14:textId="77777777" w:rsidR="00640D2D" w:rsidRDefault="00640D2D" w:rsidP="00D55E4E">
                        <w:pPr>
                          <w:autoSpaceDE w:val="0"/>
                          <w:autoSpaceDN w:val="0"/>
                          <w:adjustRightInd w:val="0"/>
                          <w:jc w:val="center"/>
                          <w:rPr>
                            <w:color w:val="FFFFFF"/>
                            <w:sz w:val="14"/>
                            <w:szCs w:val="18"/>
                          </w:rPr>
                        </w:pPr>
                        <w:r>
                          <w:rPr>
                            <w:color w:val="FFFFFF"/>
                            <w:sz w:val="14"/>
                            <w:szCs w:val="18"/>
                          </w:rPr>
                          <w:t xml:space="preserve">(coordinates property asset management strategically and reports/recommends to management/executive level. </w:t>
                        </w:r>
                      </w:p>
                      <w:p w14:paraId="057B13CB" w14:textId="77777777" w:rsidR="00640D2D" w:rsidRDefault="00640D2D" w:rsidP="00D55E4E">
                        <w:pPr>
                          <w:autoSpaceDE w:val="0"/>
                          <w:autoSpaceDN w:val="0"/>
                          <w:adjustRightInd w:val="0"/>
                          <w:jc w:val="center"/>
                          <w:rPr>
                            <w:color w:val="FFFFFF"/>
                            <w:sz w:val="14"/>
                            <w:szCs w:val="18"/>
                          </w:rPr>
                        </w:pPr>
                        <w:r>
                          <w:rPr>
                            <w:color w:val="FFFFFF"/>
                            <w:sz w:val="14"/>
                            <w:szCs w:val="18"/>
                          </w:rPr>
                          <w:t>Comprises representatives of the  Directorates with an interest in property matters)</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30" type="#_x0000_t70" style="position:absolute;left:18474;top:6826;width:1141;height:4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7dcMA&#10;AADaAAAADwAAAGRycy9kb3ducmV2LnhtbESPQWsCMRSE7wX/Q3hCbzXRoshqlKoItTfXFj0+Nq+7&#10;225eliR1t/++KQgeh5n5hlmue9uIK/lQO9YwHikQxIUzNZca3k/7pzmIEJENNo5Jwy8FWK8GD0vM&#10;jOv4SNc8liJBOGSooYqxzaQMRUUWw8i1xMn7dN5iTNKX0njsEtw2cqLUTFqsOS1U2NK2ouI7/7Ea&#10;Zme1e5OXyfmQdxv//HHaqdZ9af047F8WICL18R6+tV+Nh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7dcMAAADaAAAADwAAAAAAAAAAAAAAAACYAgAAZHJzL2Rv&#10;d25yZXYueG1sUEsFBgAAAAAEAAQA9QAAAIgDAAAAAA==&#10;" adj=",2601" fillcolor="#95b3d7" strokecolor="#8eb4e3" strokeweight="2pt">
                  <v:fill opacity="32896f"/>
                  <v:textbox inset="2.00661mm,1.0033mm,2.00661mm,1.0033mm">
                    <w:txbxContent>
                      <w:p w14:paraId="38B4C25D" w14:textId="77777777" w:rsidR="00640D2D" w:rsidRDefault="00640D2D" w:rsidP="00D55E4E">
                        <w:pPr>
                          <w:autoSpaceDE w:val="0"/>
                          <w:autoSpaceDN w:val="0"/>
                          <w:adjustRightInd w:val="0"/>
                          <w:jc w:val="center"/>
                          <w:rPr>
                            <w:color w:val="FFFFFF"/>
                            <w:sz w:val="28"/>
                            <w:szCs w:val="36"/>
                          </w:rPr>
                        </w:pPr>
                      </w:p>
                    </w:txbxContent>
                  </v:textbox>
                </v:shape>
                <v:roundrect id="Rounded Rectangle 15" o:spid="_x0000_s1031" style="position:absolute;left:42575;top:56;width:23884;height:62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ajcEA&#10;AADaAAAADwAAAGRycy9kb3ducmV2LnhtbESPQWsCMRSE74X+h/AKvdVsPYhsjSJiS3spaIVeH5vn&#10;bnDzEvOirv/eFIQeh5n5hpktBt+rMyVxgQ28jipQxE2wjlsDu5/3lykoycgW+8Bk4EoCi/njwwxr&#10;Gy68ofM2t6pAWGo00OUca62l6cijjEIkLt4+JI+5yNRqm/BS4L7X46qaaI+Oy0KHkVYdNYftyRuI&#10;cnRy2n2s4++mkvX4K30fXTLm+WlYvoHKNOT/8L39aQ1M4O9KuQF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PGo3BAAAA2gAAAA8AAAAAAAAAAAAAAAAAmAIAAGRycy9kb3du&#10;cmV2LnhtbFBLBQYAAAAABAAEAPUAAACGAwAAAAA=&#10;" fillcolor="#4f81bd" strokecolor="#8eb4e3" strokeweight="2pt">
                  <v:fill opacity="32896f"/>
                  <v:textbox inset="2.00661mm,1.0033mm,2.00661mm,1.0033mm">
                    <w:txbxContent>
                      <w:p w14:paraId="20FF4F4A" w14:textId="77777777" w:rsidR="00640D2D" w:rsidRDefault="00640D2D" w:rsidP="00D55E4E">
                        <w:pPr>
                          <w:autoSpaceDE w:val="0"/>
                          <w:autoSpaceDN w:val="0"/>
                          <w:adjustRightInd w:val="0"/>
                          <w:jc w:val="center"/>
                          <w:rPr>
                            <w:color w:val="FFFFFF"/>
                            <w:sz w:val="19"/>
                            <w:szCs w:val="24"/>
                          </w:rPr>
                        </w:pPr>
                        <w:r>
                          <w:rPr>
                            <w:color w:val="FFFFFF"/>
                            <w:sz w:val="19"/>
                            <w:szCs w:val="24"/>
                          </w:rPr>
                          <w:t xml:space="preserve">Property Asset Champion </w:t>
                        </w:r>
                      </w:p>
                      <w:p w14:paraId="7D917B1B" w14:textId="77777777" w:rsidR="00640D2D" w:rsidRDefault="00640D2D" w:rsidP="00D55E4E">
                        <w:pPr>
                          <w:autoSpaceDE w:val="0"/>
                          <w:autoSpaceDN w:val="0"/>
                          <w:adjustRightInd w:val="0"/>
                          <w:jc w:val="center"/>
                          <w:rPr>
                            <w:color w:val="FFFFFF"/>
                            <w:sz w:val="19"/>
                            <w:szCs w:val="24"/>
                          </w:rPr>
                        </w:pPr>
                        <w:r>
                          <w:rPr>
                            <w:color w:val="FFFFFF"/>
                            <w:sz w:val="19"/>
                            <w:szCs w:val="24"/>
                          </w:rPr>
                          <w:t>Cllr Alan Smith, Deputy Mayor and Cabinet Member for Growth and Regeneration</w:t>
                        </w:r>
                      </w:p>
                      <w:p w14:paraId="512CC7F9" w14:textId="77777777" w:rsidR="00640D2D" w:rsidRDefault="00640D2D" w:rsidP="00D55E4E">
                        <w:pPr>
                          <w:autoSpaceDE w:val="0"/>
                          <w:autoSpaceDN w:val="0"/>
                          <w:adjustRightInd w:val="0"/>
                          <w:jc w:val="center"/>
                          <w:rPr>
                            <w:color w:val="FFFFFF"/>
                            <w:sz w:val="13"/>
                            <w:szCs w:val="16"/>
                          </w:rPr>
                        </w:pPr>
                      </w:p>
                      <w:p w14:paraId="3E007D64" w14:textId="77777777" w:rsidR="00640D2D" w:rsidRDefault="00640D2D" w:rsidP="00D55E4E">
                        <w:pPr>
                          <w:autoSpaceDE w:val="0"/>
                          <w:autoSpaceDN w:val="0"/>
                          <w:adjustRightInd w:val="0"/>
                          <w:jc w:val="center"/>
                          <w:rPr>
                            <w:color w:val="FFFFFF"/>
                            <w:sz w:val="13"/>
                            <w:szCs w:val="16"/>
                          </w:rPr>
                        </w:pPr>
                      </w:p>
                    </w:txbxContent>
                  </v:textbox>
                </v:roundrect>
                <v:roundrect id="Rounded Rectangle 17" o:spid="_x0000_s1032" style="position:absolute;left:46000;top:11934;width:19150;height:7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zfcQA&#10;AADaAAAADwAAAGRycy9kb3ducmV2LnhtbESPT2sCMRTE7wW/Q3iF3jRba1VWo2ih4KUUVxH29ti8&#10;/YPJy7KJuvbTNwWhx2FmfsMs17014kqdbxwreB0lIIgLpxuuFBwPn8M5CB+QNRrHpOBOHtarwdMS&#10;U+1uvKdrFioRIexTVFCH0KZS+qImi37kWuLola6zGKLsKqk7vEW4NXKcJFNpseG4UGNLHzUV5+xi&#10;FWSbE5++t5PLLu+3P7PS5Obt612pl+d+swARqA//4Ud7px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33EAAAA2gAAAA8AAAAAAAAAAAAAAAAAmAIAAGRycy9k&#10;b3ducmV2LnhtbFBLBQYAAAAABAAEAPUAAACJAwAAAAA=&#10;" fillcolor="#00b050" strokecolor="#00b050" strokeweight="2pt">
                  <v:fill opacity="32896f"/>
                  <v:textbox inset="2.00661mm,1.0033mm,2.00661mm,1.0033mm">
                    <w:txbxContent>
                      <w:p w14:paraId="60326DBC" w14:textId="77777777" w:rsidR="00640D2D" w:rsidRDefault="00640D2D" w:rsidP="00D55E4E">
                        <w:pPr>
                          <w:autoSpaceDE w:val="0"/>
                          <w:autoSpaceDN w:val="0"/>
                          <w:adjustRightInd w:val="0"/>
                          <w:jc w:val="center"/>
                          <w:rPr>
                            <w:color w:val="FFFFFF"/>
                            <w:sz w:val="13"/>
                            <w:szCs w:val="16"/>
                          </w:rPr>
                        </w:pPr>
                        <w:r>
                          <w:rPr>
                            <w:color w:val="FFFFFF"/>
                            <w:sz w:val="21"/>
                            <w:szCs w:val="26"/>
                          </w:rPr>
                          <w:t>SMG Operational Asset Management</w:t>
                        </w:r>
                      </w:p>
                      <w:p w14:paraId="09A8BBFD" w14:textId="77777777" w:rsidR="00640D2D" w:rsidRDefault="00640D2D" w:rsidP="00D55E4E">
                        <w:pPr>
                          <w:autoSpaceDE w:val="0"/>
                          <w:autoSpaceDN w:val="0"/>
                          <w:adjustRightInd w:val="0"/>
                          <w:jc w:val="center"/>
                          <w:rPr>
                            <w:color w:val="FFFFFF"/>
                            <w:sz w:val="14"/>
                            <w:szCs w:val="18"/>
                          </w:rPr>
                        </w:pPr>
                        <w:r>
                          <w:rPr>
                            <w:color w:val="FFFFFF"/>
                            <w:sz w:val="14"/>
                            <w:szCs w:val="18"/>
                          </w:rPr>
                          <w:t>(Chairs Asset Management Board /manages Corporate AM Function)</w:t>
                        </w:r>
                      </w:p>
                    </w:txbxContent>
                  </v:textbox>
                </v:roundrect>
                <v:roundrect id="Rounded Rectangle 18" o:spid="_x0000_s1033" style="position:absolute;left:42575;top:22923;width:23884;height:8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D8IA&#10;AADaAAAADwAAAGRycy9kb3ducmV2LnhtbERPy2rCQBTdC/2H4Ra600kfthIdQywU3IiYFsHdJXNN&#10;QmfuhMyYpP16ZyG4PJz3KhutET11vnGs4HmWgCAunW64UvDz/TVdgPABWaNxTAr+yEO2fpisMNVu&#10;4AP1RahEDGGfooI6hDaV0pc1WfQz1xJH7uw6iyHCrpK6wyGGWyNfkuRdWmw4NtTY0mdN5W9xsQqK&#10;/MjH/ebtsj2Nm/+PszmZ191cqafHMV+CCDSGu/jm3moFcWu8Em+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qcPwgAAANoAAAAPAAAAAAAAAAAAAAAAAJgCAABkcnMvZG93&#10;bnJldi54bWxQSwUGAAAAAAQABAD1AAAAhwMAAAAA&#10;" fillcolor="#00b050" strokecolor="#00b050" strokeweight="2pt">
                  <v:fill opacity="32896f"/>
                  <v:textbox inset="2.00661mm,1.0033mm,2.00661mm,1.0033mm">
                    <w:txbxContent>
                      <w:p w14:paraId="2AB89643" w14:textId="77777777" w:rsidR="00640D2D" w:rsidRDefault="00640D2D" w:rsidP="00D55E4E">
                        <w:pPr>
                          <w:autoSpaceDE w:val="0"/>
                          <w:autoSpaceDN w:val="0"/>
                          <w:adjustRightInd w:val="0"/>
                          <w:jc w:val="center"/>
                          <w:rPr>
                            <w:color w:val="FFFFFF"/>
                            <w:sz w:val="21"/>
                            <w:szCs w:val="26"/>
                          </w:rPr>
                        </w:pPr>
                        <w:r>
                          <w:rPr>
                            <w:color w:val="FFFFFF"/>
                            <w:sz w:val="21"/>
                            <w:szCs w:val="26"/>
                          </w:rPr>
                          <w:t xml:space="preserve">Property Asset Management Functions in each Directorate </w:t>
                        </w:r>
                      </w:p>
                      <w:p w14:paraId="06694D5A" w14:textId="77777777" w:rsidR="00640D2D" w:rsidRDefault="00640D2D" w:rsidP="00D55E4E">
                        <w:pPr>
                          <w:autoSpaceDE w:val="0"/>
                          <w:autoSpaceDN w:val="0"/>
                          <w:adjustRightInd w:val="0"/>
                          <w:jc w:val="center"/>
                          <w:rPr>
                            <w:color w:val="FFFFFF"/>
                            <w:sz w:val="14"/>
                            <w:szCs w:val="18"/>
                          </w:rPr>
                        </w:pPr>
                        <w:r>
                          <w:rPr>
                            <w:color w:val="FFFFFF"/>
                            <w:sz w:val="14"/>
                            <w:szCs w:val="18"/>
                          </w:rPr>
                          <w:t>(Supports  Property Asset Management Board )</w:t>
                        </w:r>
                      </w:p>
                    </w:txbxContent>
                  </v:textbox>
                </v:roundrect>
                <v:shape id="Up-Down Arrow 19" o:spid="_x0000_s1034" type="#_x0000_t70" style="position:absolute;left:53946;top:6812;width:1142;height:4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xcMMA&#10;AADaAAAADwAAAGRycy9kb3ducmV2LnhtbESPQWsCMRSE7wX/Q3iCt5qoIO1qFK0UrLeuLXp8bF53&#10;t25eliS6239vCoUeh5n5hlmue9uIG/lQO9YwGSsQxIUzNZcaPo6vj08gQkQ22DgmDT8UYL0aPCwx&#10;M67jd7rlsRQJwiFDDVWMbSZlKCqyGMauJU7el/MWY5K+lMZjl+C2kVOl5tJizWmhwpZeKiou+dVq&#10;mJ/U7iDP09Nb3m397PO4U6371no07DcLEJH6+B/+a++Nhmf4vZJu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xcMMAAADaAAAADwAAAAAAAAAAAAAAAACYAgAAZHJzL2Rv&#10;d25yZXYueG1sUEsFBgAAAAAEAAQA9QAAAIgDAAAAAA==&#10;" adj=",2601" fillcolor="#95b3d7" strokecolor="#8eb4e3" strokeweight="2pt">
                  <v:fill opacity="32896f"/>
                  <v:textbox inset="2.00661mm,1.0033mm,2.00661mm,1.0033mm">
                    <w:txbxContent>
                      <w:p w14:paraId="11E99B64" w14:textId="77777777" w:rsidR="00640D2D" w:rsidRDefault="00640D2D" w:rsidP="00D55E4E">
                        <w:pPr>
                          <w:autoSpaceDE w:val="0"/>
                          <w:autoSpaceDN w:val="0"/>
                          <w:adjustRightInd w:val="0"/>
                          <w:jc w:val="center"/>
                          <w:rPr>
                            <w:color w:val="FFFFFF"/>
                            <w:sz w:val="28"/>
                            <w:szCs w:val="36"/>
                          </w:rPr>
                        </w:pPr>
                      </w:p>
                    </w:txbxContent>
                  </v:textbox>
                </v:shape>
                <v:shape id="Up-Down Arrow 20" o:spid="_x0000_s1035" type="#_x0000_t70" style="position:absolute;left:53844;top:19428;width:1295;height:3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ehsQA&#10;AADbAAAADwAAAGRycy9kb3ducmV2LnhtbESPT2vDMAzF74N+B6PCLmN11kMpWd1SCoNth8HSP2cR&#10;q3FoLGexl3rffjoUentCTz+9t9pk36mRhtgGNvAyK0AR18G23Bg47N+el6BiQrbYBSYDfxRhs548&#10;rLC04crfNFapUQLhWKIBl1Jfah1rRx7jLPTEsjuHwWOScWi0HfAqcN/peVEstMeW5YPDnnaO6kv1&#10;64Xi5qM7fD19/qTTx2nf+OqYc2vM4zRvX0Elyuluvl2/W4kv6aWLCN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XobEAAAA2wAAAA8AAAAAAAAAAAAAAAAAmAIAAGRycy9k&#10;b3ducmV2LnhtbFBLBQYAAAAABAAEAPUAAACJAwAAAAA=&#10;" adj=",3201" fillcolor="#95b3d7" strokecolor="#8eb4e3" strokeweight="2pt">
                  <v:fill opacity="32896f"/>
                  <v:textbox inset="2.00661mm,1.0033mm,2.00661mm,1.0033mm">
                    <w:txbxContent>
                      <w:p w14:paraId="3CF417AC" w14:textId="77777777" w:rsidR="00640D2D" w:rsidRDefault="00640D2D" w:rsidP="00D55E4E">
                        <w:pPr>
                          <w:autoSpaceDE w:val="0"/>
                          <w:autoSpaceDN w:val="0"/>
                          <w:adjustRightInd w:val="0"/>
                          <w:jc w:val="center"/>
                          <w:rPr>
                            <w:color w:val="FFFFFF"/>
                            <w:sz w:val="28"/>
                            <w:szCs w:val="36"/>
                          </w:rPr>
                        </w:pPr>
                      </w:p>
                    </w:txbxContent>
                  </v:textbox>
                </v:shape>
                <v:shape id="Up-Down Arrow 21" o:spid="_x0000_s1036" type="#_x0000_t70" style="position:absolute;left:41148;top:11294;width:1137;height:75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DFcMA&#10;AADbAAAADwAAAGRycy9kb3ducmV2LnhtbERPTWvCQBC9F/oflin0VjexaDS6irQIHnqpiuhtyI5J&#10;MDsbd1eT/vtuoeBtHu9z5sveNOJOzteWFaSDBARxYXXNpYL9bv02AeEDssbGMin4IQ/LxfPTHHNt&#10;O/6m+zaUIoawz1FBFUKbS+mLigz6gW2JI3e2zmCI0JVSO+xiuGnkMEnG0mDNsaHClj4qKi7bm1Hw&#10;eSjfN+P16To6Ztm0u365tO0ypV5f+tUMRKA+PMT/7o2O81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DFcMAAADbAAAADwAAAAAAAAAAAAAAAACYAgAAZHJzL2Rv&#10;d25yZXYueG1sUEsFBgAAAAAEAAQA9QAAAIgDAAAAAA==&#10;" adj=",1593" fillcolor="#95b3d7" strokecolor="#8eb4e3" strokeweight="2pt">
                  <v:fill opacity="32896f"/>
                  <v:textbox style="mso-rotate:90" inset="2.00661mm,1.0033mm,2.00661mm,1.0033mm">
                    <w:txbxContent>
                      <w:p w14:paraId="6D4053CC" w14:textId="77777777" w:rsidR="00640D2D" w:rsidRDefault="00640D2D" w:rsidP="00D55E4E">
                        <w:pPr>
                          <w:autoSpaceDE w:val="0"/>
                          <w:autoSpaceDN w:val="0"/>
                          <w:adjustRightInd w:val="0"/>
                          <w:jc w:val="center"/>
                          <w:rPr>
                            <w:color w:val="FFFFFF"/>
                            <w:sz w:val="28"/>
                            <w:szCs w:val="36"/>
                          </w:rPr>
                        </w:pPr>
                      </w:p>
                    </w:txbxContent>
                  </v:textbox>
                </v:shape>
                <v:shape id="Up-Down Arrow 22" o:spid="_x0000_s1037" type="#_x0000_t70" style="position:absolute;left:38845;top:5064;width:1135;height:7530;rotation:-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IMIA&#10;AADbAAAADwAAAGRycy9kb3ducmV2LnhtbERPTWvCQBC9C/0Pywi96UYprUbXEAOBUjw06sXbkB2T&#10;YHY2ZLcx/vuuUOhtHu9ztsloWjFQ7xrLChbzCARxaXXDlYLzKZ+tQDiPrLG1TAoe5CDZvUy2GGt7&#10;54KGo69ECGEXo4La+y6W0pU1GXRz2xEH7mp7gz7AvpK6x3sIN61cRtG7NNhwaKixo6ym8nb8MQry&#10;Ic0Ol7fTFxUrvf8oHkW0/t4r9Tod0w0IT6P/F/+5P3WYv4Tn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4UgwgAAANsAAAAPAAAAAAAAAAAAAAAAAJgCAABkcnMvZG93&#10;bnJldi54bWxQSwUGAAAAAAQABAD1AAAAhwMAAAAA&#10;" adj=",1668" fillcolor="#95b3d7" strokecolor="#8eb4e3" strokeweight="2pt">
                  <v:fill opacity="32896f"/>
                  <v:textbox style="mso-rotate:180" inset="2.00661mm,1.0033mm,2.00661mm,1.0033mm">
                    <w:txbxContent>
                      <w:p w14:paraId="2047A781" w14:textId="77777777" w:rsidR="00640D2D" w:rsidRDefault="00640D2D" w:rsidP="00D55E4E">
                        <w:pPr>
                          <w:autoSpaceDE w:val="0"/>
                          <w:autoSpaceDN w:val="0"/>
                          <w:adjustRightInd w:val="0"/>
                          <w:jc w:val="center"/>
                          <w:rPr>
                            <w:color w:val="FFFFFF"/>
                            <w:sz w:val="28"/>
                            <w:szCs w:val="36"/>
                          </w:rPr>
                        </w:pPr>
                      </w:p>
                    </w:txbxContent>
                  </v:textbox>
                </v:shape>
                <v:shape id="Up-Down Arrow 23" o:spid="_x0000_s1038" type="#_x0000_t70" style="position:absolute;left:39259;top:1306;width:1144;height:37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BMAA&#10;AADbAAAADwAAAGRycy9kb3ducmV2LnhtbERPS2sCMRC+C/0PYQpepGa1IGW7UUQqtDfro+dhM7tZ&#10;3Ey2SarpvzeFgrf5+J5TrZLtxYV86BwrmE0LEMS10x23Co6H7dMLiBCRNfaOScEvBVgtH0YVltpd&#10;+ZMu+9iKHMKhRAUmxqGUMtSGLIapG4gz1zhvMWboW6k9XnO47eW8KBbSYse5weBAG0P1ef9jFZze&#10;/Olb7/CDTPrqN41LadIapcaPaf0KIlKKd/G/+13n+c/w90s+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OBMAAAADbAAAADwAAAAAAAAAAAAAAAACYAgAAZHJzL2Rvd25y&#10;ZXYueG1sUEsFBgAAAAAEAAQA9QAAAIUDAAAAAA==&#10;" adj=",3185" fillcolor="#95b3d7" strokecolor="#8eb4e3" strokeweight="2pt">
                  <v:fill opacity="32896f"/>
                  <v:textbox style="mso-rotate:90" inset="2.00661mm,1.0033mm,2.00661mm,1.0033mm">
                    <w:txbxContent>
                      <w:p w14:paraId="132E4C18" w14:textId="77777777" w:rsidR="00640D2D" w:rsidRDefault="00640D2D" w:rsidP="00D55E4E">
                        <w:pPr>
                          <w:autoSpaceDE w:val="0"/>
                          <w:autoSpaceDN w:val="0"/>
                          <w:adjustRightInd w:val="0"/>
                          <w:jc w:val="center"/>
                          <w:rPr>
                            <w:color w:val="FFFFFF"/>
                            <w:sz w:val="28"/>
                            <w:szCs w:val="36"/>
                          </w:rPr>
                        </w:pPr>
                      </w:p>
                    </w:txbxContent>
                  </v:textbox>
                </v:shape>
                <v:shape id="Up-Down Arrow 25" o:spid="_x0000_s1039" type="#_x0000_t70" style="position:absolute;left:29425;top:14024;width:1328;height:246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HkcIA&#10;AADbAAAADwAAAGRycy9kb3ducmV2LnhtbERPTU8CMRC9m/AfmiHhJq1I0KwUAkYI4sEIJl4n23G7&#10;YTtd2wLLv7ckJt7m5X3OdN65RpwoxNqzhruhAkFcelNzpeFzv7p9BBETssHGM2m4UIT5rHczxcL4&#10;M3/QaZcqkUM4FqjBptQWUsbSksM49C1x5r59cJgyDJU0Ac853DVypNREOqw5N1hs6dlSedgdnYal&#10;pf3L+mFL6vBV/qjX+3B8X7xpPeh3iycQibr0L/5zb0yeP4br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weRwgAAANsAAAAPAAAAAAAAAAAAAAAAAJgCAABkcnMvZG93&#10;bnJldi54bWxQSwUGAAAAAAQABAD1AAAAhwMAAAAA&#10;" adj=",567" fillcolor="#95b3d7" strokecolor="#8eb4e3" strokeweight="2pt">
                  <v:fill opacity="32896f"/>
                  <v:textbox style="mso-rotate:90" inset="2.00661mm,1.0033mm,2.00661mm,1.0033mm">
                    <w:txbxContent>
                      <w:p w14:paraId="4CA0D921" w14:textId="77777777" w:rsidR="00640D2D" w:rsidRDefault="00640D2D" w:rsidP="00D55E4E">
                        <w:pPr>
                          <w:autoSpaceDE w:val="0"/>
                          <w:autoSpaceDN w:val="0"/>
                          <w:adjustRightInd w:val="0"/>
                          <w:jc w:val="center"/>
                          <w:rPr>
                            <w:color w:val="FFFFFF"/>
                            <w:sz w:val="28"/>
                            <w:szCs w:val="36"/>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40" type="#_x0000_t68" style="position:absolute;left:1701;top:18555;width:1425;height:5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qEcMA&#10;AADbAAAADwAAAGRycy9kb3ducmV2LnhtbERPTWvCQBC9F/wPywi91Y1iJERXUUGQQg9RD+1tzE6T&#10;1OxszG5N2l/fLQje5vE+Z7HqTS1u1LrKsoLxKAJBnFtdcaHgdNy9JCCcR9ZYWyYFP+RgtRw8LTDV&#10;tuOMbgdfiBDCLkUFpfdNKqXLSzLoRrYhDtynbQ36ANtC6ha7EG5qOYmimTRYcWgosaFtSfnl8G0U&#10;bH7xq7iOz1Mb42u23iZ7fvt4V+p52K/nIDz1/iG+u/c6zI/h/5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qEcMAAADbAAAADwAAAAAAAAAAAAAAAACYAgAAZHJzL2Rv&#10;d25yZXYueG1sUEsFBgAAAAAEAAQA9QAAAIgDAAAAAA==&#10;" adj="3041" fillcolor="#95b3d7" strokecolor="#8eb4e3" strokeweight="2pt">
                  <v:fill opacity="46003f"/>
                  <v:textbox inset="2.00661mm,1.0033mm,2.00661mm,1.0033mm">
                    <w:txbxContent>
                      <w:p w14:paraId="66A0B28C" w14:textId="77777777" w:rsidR="00640D2D" w:rsidRDefault="00640D2D" w:rsidP="00D55E4E">
                        <w:pPr>
                          <w:autoSpaceDE w:val="0"/>
                          <w:autoSpaceDN w:val="0"/>
                          <w:adjustRightInd w:val="0"/>
                          <w:jc w:val="center"/>
                          <w:rPr>
                            <w:color w:val="FFFFFF"/>
                            <w:sz w:val="28"/>
                            <w:szCs w:val="36"/>
                          </w:rPr>
                        </w:pPr>
                      </w:p>
                    </w:txbxContent>
                  </v:textbox>
                </v:shape>
                <v:shape id="Up-Down Arrow 31" o:spid="_x0000_s1041" type="#_x0000_t70" style="position:absolute;left:35024;top:23533;width:1428;height:136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VrsEA&#10;AADbAAAADwAAAGRycy9kb3ducmV2LnhtbERPTWvCQBC9C/6HZYTezKY5iKRuQrAIXlqqLcXjkJ3u&#10;BrOzMbtq+u+7hUJv83ifs6kn14sbjaHzrOAxy0EQt153bBR8vO+WaxAhImvsPZOCbwpQV/PZBkvt&#10;73yg2zEakUI4lKjAxjiUUobWksOQ+YE4cV9+dBgTHI3UI95TuOtlkecr6bDj1GBxoK2l9ny8OgWv&#10;bzo0l/ylOJm2MNPp2Vjz2Sj1sJiaJxCRpvgv/nPvdZq/gt9f0gG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tVa7BAAAA2wAAAA8AAAAAAAAAAAAAAAAAmAIAAGRycy9kb3du&#10;cmV2LnhtbFBLBQYAAAAABAAEAPUAAACGAwAAAAA=&#10;" adj=",1100" fillcolor="#95b3d7" strokecolor="#8eb4e3" strokeweight="2pt">
                  <v:fill opacity="32896f"/>
                  <v:textbox style="mso-rotate:90" inset="2.00661mm,1.0033mm,2.00661mm,1.0033mm">
                    <w:txbxContent>
                      <w:p w14:paraId="04AA063C" w14:textId="77777777" w:rsidR="00640D2D" w:rsidRDefault="00640D2D" w:rsidP="00D55E4E">
                        <w:pPr>
                          <w:autoSpaceDE w:val="0"/>
                          <w:autoSpaceDN w:val="0"/>
                          <w:adjustRightInd w:val="0"/>
                          <w:jc w:val="center"/>
                          <w:rPr>
                            <w:color w:val="FFFFFF"/>
                            <w:sz w:val="28"/>
                            <w:szCs w:val="36"/>
                          </w:rPr>
                        </w:pPr>
                      </w:p>
                    </w:txbxContent>
                  </v:textbox>
                </v:shape>
                <v:roundrect id="Rounded Rectangle 9" o:spid="_x0000_s1042" style="position:absolute;left:298;top:23719;width:11574;height:62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o58AA&#10;AADbAAAADwAAAGRycy9kb3ducmV2LnhtbERPTWvCQBC9F/wPywje6sYcTImuIoqklx60otdhd0wW&#10;s7Mhu43pv+8WCr3N433Oeju6VgzUB+tZwWKegSDW3liuFVw+j69vIEJENth6JgXfFGC7mbyssTT+&#10;yScazrEWKYRDiQqaGLtSyqAbchjmviNO3N33DmOCfS1Nj88U7lqZZ9lSOrScGhrsaN+Qfpy/nAKt&#10;r8Op5SI/5FV1q0Zni4/KKjWbjrsViEhj/Bf/ud9Nml/A7y/p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oo58AAAADbAAAADwAAAAAAAAAAAAAAAACYAgAAZHJzL2Rvd25y&#10;ZXYueG1sUEsFBgAAAAAEAAQA9QAAAIUDAAAAAA==&#10;" fillcolor="#4f81bd" strokecolor="#8eb4e3" strokeweight="2pt">
                  <v:fill opacity="55769f"/>
                  <v:textbox inset="2.00661mm,1.0033mm,2.00661mm,1.0033mm">
                    <w:txbxContent>
                      <w:p w14:paraId="526AE647" w14:textId="77777777" w:rsidR="00640D2D" w:rsidRDefault="00640D2D" w:rsidP="00D55E4E">
                        <w:pPr>
                          <w:autoSpaceDE w:val="0"/>
                          <w:autoSpaceDN w:val="0"/>
                          <w:adjustRightInd w:val="0"/>
                          <w:rPr>
                            <w:color w:val="FFFFFF"/>
                            <w:sz w:val="13"/>
                            <w:szCs w:val="16"/>
                          </w:rPr>
                        </w:pPr>
                        <w:r>
                          <w:rPr>
                            <w:color w:val="FFFFFF"/>
                            <w:sz w:val="13"/>
                            <w:szCs w:val="16"/>
                          </w:rPr>
                          <w:t>Resources  &amp;</w:t>
                        </w:r>
                      </w:p>
                      <w:p w14:paraId="6A1101E4" w14:textId="77777777" w:rsidR="00640D2D" w:rsidRDefault="00640D2D" w:rsidP="00D55E4E">
                        <w:pPr>
                          <w:autoSpaceDE w:val="0"/>
                          <w:autoSpaceDN w:val="0"/>
                          <w:adjustRightInd w:val="0"/>
                          <w:rPr>
                            <w:color w:val="FFFFFF"/>
                            <w:sz w:val="13"/>
                            <w:szCs w:val="16"/>
                          </w:rPr>
                        </w:pPr>
                        <w:r>
                          <w:rPr>
                            <w:color w:val="FFFFFF"/>
                            <w:sz w:val="13"/>
                            <w:szCs w:val="16"/>
                          </w:rPr>
                          <w:t xml:space="preserve"> Regeneration</w:t>
                        </w:r>
                      </w:p>
                    </w:txbxContent>
                  </v:textbox>
                </v:roundrect>
                <v:roundrect id="Rounded Rectangle 7" o:spid="_x0000_s1043" style="position:absolute;left:6267;top:25424;width:11523;height:6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8lcMA&#10;AADbAAAADwAAAGRycy9kb3ducmV2LnhtbESPQW/CMAyF75P4D5GRdhspPYypEBACTd1lB9g0rlZi&#10;2ojGqZqsdP9+PkzazdZ7fu/zZjeFTo00JB/ZwHJRgCK20XluDHx+vD69gEoZ2WEXmQz8UILddvaw&#10;wcrFO59oPOdGSQinCg20OfeV1sm2FDAtYk8s2jUOAbOsQ6PdgHcJD50ui+JZB/QsDS32dGjJ3s7f&#10;wYC1X+Op41V5LOv6Uk/Br95rb8zjfNqvQWWa8r/57/rN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8lcMAAADbAAAADwAAAAAAAAAAAAAAAACYAgAAZHJzL2Rv&#10;d25yZXYueG1sUEsFBgAAAAAEAAQA9QAAAIgDAAAAAA==&#10;" fillcolor="#4f81bd" strokecolor="#8eb4e3" strokeweight="2pt">
                  <v:fill opacity="55769f"/>
                  <v:textbox inset="2.00661mm,1.0033mm,2.00661mm,1.0033mm">
                    <w:txbxContent>
                      <w:p w14:paraId="0AE98349" w14:textId="77777777" w:rsidR="00640D2D" w:rsidRDefault="00640D2D" w:rsidP="00D55E4E">
                        <w:pPr>
                          <w:autoSpaceDE w:val="0"/>
                          <w:autoSpaceDN w:val="0"/>
                          <w:adjustRightInd w:val="0"/>
                          <w:rPr>
                            <w:color w:val="FFFFFF"/>
                            <w:sz w:val="13"/>
                            <w:szCs w:val="16"/>
                          </w:rPr>
                        </w:pPr>
                        <w:r>
                          <w:rPr>
                            <w:color w:val="FFFFFF"/>
                            <w:sz w:val="13"/>
                            <w:szCs w:val="16"/>
                          </w:rPr>
                          <w:t xml:space="preserve">Community </w:t>
                        </w:r>
                      </w:p>
                      <w:p w14:paraId="3B5E4B68" w14:textId="77777777" w:rsidR="00640D2D" w:rsidRDefault="00640D2D" w:rsidP="00D55E4E">
                        <w:pPr>
                          <w:autoSpaceDE w:val="0"/>
                          <w:autoSpaceDN w:val="0"/>
                          <w:adjustRightInd w:val="0"/>
                          <w:rPr>
                            <w:color w:val="FFFFFF"/>
                            <w:sz w:val="13"/>
                            <w:szCs w:val="16"/>
                          </w:rPr>
                        </w:pPr>
                        <w:r>
                          <w:rPr>
                            <w:color w:val="FFFFFF"/>
                            <w:sz w:val="13"/>
                            <w:szCs w:val="16"/>
                          </w:rPr>
                          <w:t>Services</w:t>
                        </w:r>
                      </w:p>
                    </w:txbxContent>
                  </v:textbox>
                </v:roundrect>
                <v:roundrect id="Rounded Rectangle 6" o:spid="_x0000_s1044" style="position:absolute;left:11610;top:27242;width:11604;height:6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ZDsEA&#10;AADbAAAADwAAAGRycy9kb3ducmV2LnhtbERPO2/CMBDeK/U/WFeJrTjNADRgUNUKhaUDD5X1ZB+J&#10;RXyOYhPCv6+RkNju0/e8xWpwjeipC9azgo9xBoJYe2O5UnDYr99nIEJENth4JgU3CrBavr4ssDD+&#10;ylvqd7ESKYRDgQrqGNtCyqBrchjGviVO3Ml3DmOCXSVNh9cU7hqZZ9lEOrScGmps6bsmfd5dnAKt&#10;//ptw9P8Jy/LYzk4O/0trVKjt+FrDiLSEJ/ih3tj0vxPuP+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GQ7BAAAA2wAAAA8AAAAAAAAAAAAAAAAAmAIAAGRycy9kb3du&#10;cmV2LnhtbFBLBQYAAAAABAAEAPUAAACGAwAAAAA=&#10;" fillcolor="#4f81bd" strokecolor="#8eb4e3" strokeweight="2pt">
                  <v:fill opacity="55769f"/>
                  <v:textbox inset="2.00661mm,1.0033mm,2.00661mm,1.0033mm">
                    <w:txbxContent>
                      <w:p w14:paraId="59DCB825" w14:textId="77777777" w:rsidR="00640D2D" w:rsidRDefault="00640D2D" w:rsidP="00D55E4E">
                        <w:pPr>
                          <w:autoSpaceDE w:val="0"/>
                          <w:autoSpaceDN w:val="0"/>
                          <w:adjustRightInd w:val="0"/>
                          <w:rPr>
                            <w:color w:val="FFFFFF"/>
                            <w:sz w:val="13"/>
                            <w:szCs w:val="16"/>
                          </w:rPr>
                        </w:pPr>
                        <w:r>
                          <w:rPr>
                            <w:color w:val="FFFFFF"/>
                            <w:sz w:val="13"/>
                            <w:szCs w:val="16"/>
                          </w:rPr>
                          <w:t>CYP</w:t>
                        </w:r>
                      </w:p>
                    </w:txbxContent>
                  </v:textbox>
                </v:roundrect>
                <v:roundrect id="Rounded Rectangle 8" o:spid="_x0000_s1045" style="position:absolute;left:17041;top:28997;width:11611;height:6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Lr8A&#10;AADbAAAADwAAAGRycy9kb3ducmV2LnhtbERPTYvCMBC9L/gfwgje1tQeVKpRRFnqxYO6rNchGdtg&#10;MylNttZ/bw4Le3y87/V2cI3oqQvWs4LZNANBrL2xXCn4vn59LkGEiGyw8UwKXhRguxl9rLEw/sln&#10;6i+xEimEQ4EK6hjbQsqga3IYpr4lTtzddw5jgl0lTYfPFO4amWfZXDq0nBpqbGlfk35cfp0CrX/6&#10;c8OL/JCX5a0cnF2cSqvUZDzsViAiDfFf/Oc+GgV5Wp++p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3ouvwAAANsAAAAPAAAAAAAAAAAAAAAAAJgCAABkcnMvZG93bnJl&#10;di54bWxQSwUGAAAAAAQABAD1AAAAhAMAAAAA&#10;" fillcolor="#4f81bd" strokecolor="#8eb4e3" strokeweight="2pt">
                  <v:fill opacity="55769f"/>
                  <v:textbox inset="2.00661mm,1.0033mm,2.00661mm,1.0033mm">
                    <w:txbxContent>
                      <w:p w14:paraId="74F74FB0" w14:textId="77777777" w:rsidR="00640D2D" w:rsidRDefault="00640D2D" w:rsidP="00D55E4E">
                        <w:pPr>
                          <w:autoSpaceDE w:val="0"/>
                          <w:autoSpaceDN w:val="0"/>
                          <w:adjustRightInd w:val="0"/>
                          <w:rPr>
                            <w:color w:val="FFFFFF"/>
                            <w:sz w:val="13"/>
                            <w:szCs w:val="16"/>
                          </w:rPr>
                        </w:pPr>
                        <w:r>
                          <w:rPr>
                            <w:color w:val="FFFFFF"/>
                            <w:sz w:val="13"/>
                            <w:szCs w:val="16"/>
                          </w:rPr>
                          <w:t>Customer Services</w:t>
                        </w:r>
                      </w:p>
                    </w:txbxContent>
                  </v:textbox>
                </v:roundrect>
                <v:shape id="Up Arrow 30" o:spid="_x0000_s1046" type="#_x0000_t68" style="position:absolute;left:7663;top:18483;width:1425;height:6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Ot8AA&#10;AADbAAAADwAAAGRycy9kb3ducmV2LnhtbESPQYvCMBSE7wv+h/AEb2tqD1K7RhFBqOzJ6t4fzbMt&#10;Ni+hibX++40geBxm5htmvR1NJwbqfWtZwWKegCCurG65VnA5H74zED4ga+wsk4InedhuJl9rzLV9&#10;8ImGMtQiQtjnqKAJweVS+qohg35uHXH0rrY3GKLsa6l7fES46WSaJEtpsOW40KCjfUPVrbwbBcVx&#10;mWbP3yEj9+cOF12u6sKvlJpNx90PiEBj+ITf7UIrSBfw+h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POt8AAAADbAAAADwAAAAAAAAAAAAAAAACYAgAAZHJzL2Rvd25y&#10;ZXYueG1sUEsFBgAAAAAEAAQA9QAAAIUDAAAAAA==&#10;" adj="2264" fillcolor="#95b3d7" strokecolor="#8eb4e3" strokeweight="2pt">
                  <v:fill opacity="46003f"/>
                  <v:textbox inset="2.00661mm,1.0033mm,2.00661mm,1.0033mm">
                    <w:txbxContent>
                      <w:p w14:paraId="2D315D0D" w14:textId="77777777" w:rsidR="00640D2D" w:rsidRDefault="00640D2D" w:rsidP="00D55E4E">
                        <w:pPr>
                          <w:autoSpaceDE w:val="0"/>
                          <w:autoSpaceDN w:val="0"/>
                          <w:adjustRightInd w:val="0"/>
                          <w:jc w:val="center"/>
                          <w:rPr>
                            <w:color w:val="FFFFFF"/>
                            <w:sz w:val="28"/>
                            <w:szCs w:val="36"/>
                          </w:rPr>
                        </w:pPr>
                      </w:p>
                    </w:txbxContent>
                  </v:textbox>
                </v:shape>
                <v:shape id="Up Arrow 33" o:spid="_x0000_s1047" type="#_x0000_t68" style="position:absolute;left:13363;top:18555;width:1417;height:8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fK8IA&#10;AADbAAAADwAAAGRycy9kb3ducmV2LnhtbESPQYvCMBSE7wv+h/AEb2tqwUWqUUQU9iTb6sHjo3m2&#10;1ealJFlb/71ZWPA4zMw3zGozmFY8yPnGsoLZNAFBXFrdcKXgfDp8LkD4gKyxtUwKnuRhsx59rDDT&#10;tuecHkWoRISwz1BBHUKXSenLmgz6qe2Io3e1zmCI0lVSO+wj3LQyTZIvabDhuFBjR7uaynvxaxTc&#10;c2dn25+qz4vbvOmex/1lcUuUmoyH7RJEoCG8w//tb60gTe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x8rwgAAANsAAAAPAAAAAAAAAAAAAAAAAJgCAABkcnMvZG93&#10;bnJldi54bWxQSwUGAAAAAAQABAD1AAAAhwMAAAAA&#10;" adj="1809" fillcolor="#95b3d7" strokecolor="#8eb4e3" strokeweight="2pt">
                  <v:fill opacity="46003f"/>
                  <v:textbox inset="2.00661mm,1.0033mm,2.00661mm,1.0033mm">
                    <w:txbxContent>
                      <w:p w14:paraId="6F7B0668" w14:textId="77777777" w:rsidR="00640D2D" w:rsidRDefault="00640D2D" w:rsidP="00D55E4E">
                        <w:pPr>
                          <w:autoSpaceDE w:val="0"/>
                          <w:autoSpaceDN w:val="0"/>
                          <w:adjustRightInd w:val="0"/>
                          <w:jc w:val="center"/>
                          <w:rPr>
                            <w:color w:val="FFFFFF"/>
                            <w:sz w:val="28"/>
                            <w:szCs w:val="36"/>
                          </w:rPr>
                        </w:pPr>
                      </w:p>
                    </w:txbxContent>
                  </v:textbox>
                </v:shape>
                <v:shape id="Up Arrow 34" o:spid="_x0000_s1048" type="#_x0000_t68" style="position:absolute;left:18990;top:18555;width:1476;height:10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1DsQA&#10;AADbAAAADwAAAGRycy9kb3ducmV2LnhtbESPwWrDMBBE74H+g9hCb7EcB0LrWgmhodBLDnFz6HFr&#10;rS0Ra2Us1XH+vgoUehxm5g1T7WbXi4nGYD0rWGU5COLGa8udgvPn+/IZRIjIGnvPpOBGAXbbh0WF&#10;pfZXPtFUx04kCIcSFZgYh1LK0BhyGDI/ECev9aPDmOTYST3iNcFdL4s830iHltOCwYHeDDWX+scp&#10;mDd14fdrtN+H01c9DfZ4aw8vSj09zvtXEJHm+B/+a39oBcUa7l/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9Q7EAAAA2wAAAA8AAAAAAAAAAAAAAAAAmAIAAGRycy9k&#10;b3ducmV2LnhtbFBLBQYAAAAABAAEAPUAAACJAwAAAAA=&#10;" adj="1563" fillcolor="#95b3d7" strokecolor="#8eb4e3" strokeweight="2pt">
                  <v:fill opacity="46003f"/>
                  <v:textbox inset="2.00661mm,1.0033mm,2.00661mm,1.0033mm">
                    <w:txbxContent>
                      <w:p w14:paraId="083F8625" w14:textId="77777777" w:rsidR="00640D2D" w:rsidRDefault="00640D2D" w:rsidP="00D55E4E">
                        <w:pPr>
                          <w:autoSpaceDE w:val="0"/>
                          <w:autoSpaceDN w:val="0"/>
                          <w:adjustRightInd w:val="0"/>
                          <w:jc w:val="center"/>
                          <w:rPr>
                            <w:color w:val="FFFFFF"/>
                            <w:sz w:val="28"/>
                            <w:szCs w:val="36"/>
                          </w:rPr>
                        </w:pPr>
                      </w:p>
                    </w:txbxContent>
                  </v:textbox>
                </v:shape>
                <v:shape id="Up-Down Arrow 24" o:spid="_x0000_s1049" type="#_x0000_t70" style="position:absolute;left:39806;top:16591;width:1307;height:7103;rotation:-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q7cMA&#10;AADbAAAADwAAAGRycy9kb3ducmV2LnhtbESPQWvCQBSE7wX/w/KE3pqNQSRE11CKpb21jQoen9ln&#10;Esy+DbtbE/99t1DocZiZb5hNOZle3Mj5zrKCRZKCIK6t7rhRcNi/PuUgfEDW2FsmBXfyUG5nDxss&#10;tB35i25VaESEsC9QQRvCUEjp65YM+sQOxNG7WGcwROkaqR2OEW56maXpShrsOC60ONBLS/W1+jYK&#10;6Hz6WNJnrcdqZcd7/pbm7rhT6nE+Pa9BBJrCf/iv/a4VZE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3q7cMAAADbAAAADwAAAAAAAAAAAAAAAACYAgAAZHJzL2Rv&#10;d25yZXYueG1sUEsFBgAAAAAEAAQA9QAAAIgDAAAAAA==&#10;" adj=",1944" fillcolor="#95b3d7" strokecolor="#8eb4e3" strokeweight="2pt">
                  <v:fill opacity="32896f"/>
                  <v:textbox style="mso-rotate:90" inset="2.00661mm,1.0033mm,2.00661mm,1.0033mm">
                    <w:txbxContent>
                      <w:p w14:paraId="7F79A90C" w14:textId="77777777" w:rsidR="00640D2D" w:rsidRDefault="00640D2D" w:rsidP="00D55E4E">
                        <w:pPr>
                          <w:autoSpaceDE w:val="0"/>
                          <w:autoSpaceDN w:val="0"/>
                          <w:adjustRightInd w:val="0"/>
                          <w:jc w:val="center"/>
                          <w:rPr>
                            <w:color w:val="FFFFFF"/>
                            <w:sz w:val="28"/>
                            <w:szCs w:val="36"/>
                          </w:rPr>
                        </w:pPr>
                      </w:p>
                    </w:txbxContent>
                  </v:textbox>
                </v:shape>
                <v:shape id="Up-Down Arrow 27" o:spid="_x0000_s1050" type="#_x0000_t70" style="position:absolute;left:32406;top:18828;width:1428;height:189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188MA&#10;AADbAAAADwAAAGRycy9kb3ducmV2LnhtbESPQYvCMBSE74L/ITxhL6KpritSjSLignjTrXh9JM+2&#10;2ryUJqv135uFBY/DzHzDLFatrcSdGl86VjAaJiCItTMl5wqyn+/BDIQPyAYrx6TgSR5Wy25ngalx&#10;Dz7Q/RhyESHsU1RQhFCnUnpdkEU/dDVx9C6usRiibHJpGnxEuK3kOEmm0mLJcaHAmjYF6dvx1yoI&#10;22c2Wef7ZFtf9emyG53Puv+p1EevXc9BBGrDO/zf3hkF4y/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188MAAADbAAAADwAAAAAAAAAAAAAAAACYAgAAZHJzL2Rv&#10;d25yZXYueG1sUEsFBgAAAAAEAAQA9QAAAIgDAAAAAA==&#10;" adj=",795" fillcolor="#95b3d7" strokecolor="#8eb4e3" strokeweight="2pt">
                  <v:fill opacity="32896f"/>
                  <v:textbox style="mso-rotate:90" inset="2.00661mm,1.0033mm,2.00661mm,1.0033mm">
                    <w:txbxContent>
                      <w:p w14:paraId="22E9BDE8" w14:textId="77777777" w:rsidR="00640D2D" w:rsidRDefault="00640D2D" w:rsidP="00D55E4E">
                        <w:pPr>
                          <w:autoSpaceDE w:val="0"/>
                          <w:autoSpaceDN w:val="0"/>
                          <w:adjustRightInd w:val="0"/>
                          <w:jc w:val="center"/>
                          <w:rPr>
                            <w:color w:val="FFFFFF"/>
                            <w:sz w:val="28"/>
                            <w:szCs w:val="36"/>
                          </w:rPr>
                        </w:pPr>
                      </w:p>
                    </w:txbxContent>
                  </v:textbox>
                </v:shape>
                <v:shape id="Up-Down Arrow 28" o:spid="_x0000_s1051" type="#_x0000_t70" style="position:absolute;left:26502;top:9027;width:1421;height:30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VPsMA&#10;AADbAAAADwAAAGRycy9kb3ducmV2LnhtbESPQWvCQBSE74L/YXlCb7pRSiKpm1AEQdpLG7309sg+&#10;k9js27C7mrS/vlso9DjMzDfMrpxML+7kfGdZwXqVgCCure64UXA+HZZbED4ga+wtk4Iv8lAW89kO&#10;c21Hfqd7FRoRIexzVNCGMORS+rolg35lB+LoXawzGKJ0jdQOxwg3vdwkSSoNdhwXWhxo31L9Wd2M&#10;AvfIb1eDlr+ztf14Ob3e+JiRUg+L6fkJRKAp/If/2ketYJP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VPsMAAADbAAAADwAAAAAAAAAAAAAAAACYAgAAZHJzL2Rv&#10;d25yZXYueG1sUEsFBgAAAAAEAAQA9QAAAIgDAAAAAA==&#10;" adj=",492" fillcolor="#95b3d7" strokecolor="#8eb4e3" strokeweight="2pt">
                  <v:fill opacity="32896f"/>
                  <v:textbox style="mso-rotate:90" inset="2.00661mm,1.0033mm,2.00661mm,1.0033mm">
                    <w:txbxContent>
                      <w:p w14:paraId="06E3A457" w14:textId="77777777" w:rsidR="00640D2D" w:rsidRDefault="00640D2D" w:rsidP="00D55E4E">
                        <w:pPr>
                          <w:autoSpaceDE w:val="0"/>
                          <w:autoSpaceDN w:val="0"/>
                          <w:adjustRightInd w:val="0"/>
                          <w:jc w:val="center"/>
                          <w:rPr>
                            <w:color w:val="FFFFFF"/>
                            <w:sz w:val="28"/>
                            <w:szCs w:val="36"/>
                          </w:rPr>
                        </w:pPr>
                      </w:p>
                    </w:txbxContent>
                  </v:textbox>
                </v:shape>
                <w10:anchorlock/>
              </v:group>
            </w:pict>
          </mc:Fallback>
        </mc:AlternateContent>
      </w:r>
    </w:p>
    <w:p w14:paraId="6956476F" w14:textId="77777777" w:rsidR="00D55E4E" w:rsidRPr="00D55E4E" w:rsidRDefault="00D55E4E" w:rsidP="00D55E4E">
      <w:pPr>
        <w:rPr>
          <w:rFonts w:eastAsia="Calibri"/>
        </w:rPr>
      </w:pPr>
    </w:p>
    <w:p w14:paraId="09F18AD1" w14:textId="77777777" w:rsidR="00784980" w:rsidRPr="00784980" w:rsidRDefault="00784980" w:rsidP="00784980"/>
    <w:p w14:paraId="65603CE8" w14:textId="7DBA361F" w:rsidR="00555728" w:rsidRDefault="00E87616" w:rsidP="000F64C3">
      <w:pPr>
        <w:rPr>
          <w:u w:val="single"/>
        </w:rPr>
      </w:pPr>
      <w:r>
        <w:rPr>
          <w:u w:val="single"/>
        </w:rPr>
        <w:t xml:space="preserve">(ii) </w:t>
      </w:r>
      <w:r w:rsidR="00016D85" w:rsidRPr="00E61491">
        <w:rPr>
          <w:u w:val="single"/>
        </w:rPr>
        <w:t>Partnerships</w:t>
      </w:r>
    </w:p>
    <w:p w14:paraId="35753C69" w14:textId="77777777" w:rsidR="00784980" w:rsidRPr="00E61491" w:rsidRDefault="00784980" w:rsidP="000F64C3">
      <w:pPr>
        <w:rPr>
          <w:u w:val="single"/>
        </w:rPr>
      </w:pPr>
    </w:p>
    <w:p w14:paraId="521F81E4" w14:textId="71749847" w:rsidR="004A2509" w:rsidRDefault="00555728" w:rsidP="000F64C3">
      <w:r>
        <w:t xml:space="preserve">Public finances will continue to be squeezed in the coming years.  This means the public sector will have to be more creative, more willing to be flexible in how it operates creating more impetus than ever before for shared access to public facilities and to break down the organisational and geographical barriers that represent in-built inefficiencies </w:t>
      </w:r>
      <w:r w:rsidR="004A2509">
        <w:t>in systems.</w:t>
      </w:r>
      <w:r w:rsidR="00FF70F7">
        <w:t xml:space="preserve"> </w:t>
      </w:r>
    </w:p>
    <w:p w14:paraId="6B7B99E7" w14:textId="77777777" w:rsidR="004A2509" w:rsidRDefault="004A2509" w:rsidP="000F64C3"/>
    <w:p w14:paraId="1B0FD5C0" w14:textId="77777777" w:rsidR="00B44D9D" w:rsidRDefault="00B44D9D" w:rsidP="000F64C3">
      <w:r>
        <w:t xml:space="preserve">Key partners include </w:t>
      </w:r>
    </w:p>
    <w:p w14:paraId="56AB1087" w14:textId="77777777" w:rsidR="00B44D9D" w:rsidRDefault="00B44D9D" w:rsidP="00C1048E">
      <w:pPr>
        <w:pStyle w:val="ListParagraph"/>
        <w:numPr>
          <w:ilvl w:val="0"/>
          <w:numId w:val="23"/>
        </w:numPr>
      </w:pPr>
      <w:r>
        <w:t xml:space="preserve">service providers in the borough, particularly those within significant assets such as leisure facilities </w:t>
      </w:r>
    </w:p>
    <w:p w14:paraId="1EF2146B" w14:textId="7230111B" w:rsidR="00B44D9D" w:rsidRDefault="00B44D9D" w:rsidP="00C1048E">
      <w:pPr>
        <w:pStyle w:val="ListParagraph"/>
        <w:numPr>
          <w:ilvl w:val="0"/>
          <w:numId w:val="23"/>
        </w:numPr>
      </w:pPr>
      <w:r>
        <w:t>local public sector bodies including the emergency services, NHS and other health bodies</w:t>
      </w:r>
    </w:p>
    <w:p w14:paraId="47A22441" w14:textId="3255BAF7" w:rsidR="00B44D9D" w:rsidRDefault="00B44D9D" w:rsidP="00C1048E">
      <w:pPr>
        <w:pStyle w:val="ListParagraph"/>
        <w:numPr>
          <w:ilvl w:val="0"/>
          <w:numId w:val="23"/>
        </w:numPr>
      </w:pPr>
      <w:r>
        <w:t>schools and education facilities</w:t>
      </w:r>
    </w:p>
    <w:p w14:paraId="292E5999" w14:textId="390D206F" w:rsidR="00B44D9D" w:rsidRDefault="00B44D9D" w:rsidP="00C1048E">
      <w:pPr>
        <w:pStyle w:val="ListParagraph"/>
        <w:numPr>
          <w:ilvl w:val="0"/>
          <w:numId w:val="23"/>
        </w:numPr>
      </w:pPr>
      <w:r>
        <w:t>voluntary and community sector</w:t>
      </w:r>
    </w:p>
    <w:p w14:paraId="2984854A" w14:textId="14CF19DC" w:rsidR="00B44D9D" w:rsidRDefault="00B44D9D" w:rsidP="00C1048E">
      <w:pPr>
        <w:pStyle w:val="ListParagraph"/>
        <w:numPr>
          <w:ilvl w:val="0"/>
          <w:numId w:val="23"/>
        </w:numPr>
      </w:pPr>
      <w:r>
        <w:t>neighbouring boroughs and other local authorities in London and elsewhere</w:t>
      </w:r>
    </w:p>
    <w:p w14:paraId="3B10A47A" w14:textId="0882B45D" w:rsidR="00B44D9D" w:rsidRDefault="00B44D9D" w:rsidP="00C1048E">
      <w:pPr>
        <w:pStyle w:val="ListParagraph"/>
        <w:numPr>
          <w:ilvl w:val="0"/>
          <w:numId w:val="23"/>
        </w:numPr>
      </w:pPr>
      <w:r>
        <w:t>organisations and teams working on infrastructure across highways, public realm, transport, housing and others</w:t>
      </w:r>
    </w:p>
    <w:p w14:paraId="08BFA459" w14:textId="77777777" w:rsidR="00B44D9D" w:rsidRDefault="00B44D9D" w:rsidP="00FF70F7"/>
    <w:p w14:paraId="5BFA3775" w14:textId="0A564519" w:rsidR="00B44D9D" w:rsidRDefault="00A008EB" w:rsidP="00B44D9D">
      <w:r>
        <w:t xml:space="preserve">The Council’s Asset Management Board will have an important role to play in facilitating the development of partnerships for mutual advantage including in relation to: </w:t>
      </w:r>
    </w:p>
    <w:p w14:paraId="5BAE8DE3" w14:textId="147D6111" w:rsidR="004A2509" w:rsidRDefault="004A2509" w:rsidP="00C1048E">
      <w:pPr>
        <w:pStyle w:val="ListParagraph"/>
        <w:numPr>
          <w:ilvl w:val="0"/>
          <w:numId w:val="23"/>
        </w:numPr>
      </w:pPr>
      <w:r>
        <w:t xml:space="preserve">Sharing of good practice, data on assets and </w:t>
      </w:r>
      <w:r w:rsidR="00B44D9D">
        <w:t>plans for assets in and around the borough</w:t>
      </w:r>
    </w:p>
    <w:p w14:paraId="7EE78F9C" w14:textId="0E29F249" w:rsidR="00B44D9D" w:rsidRDefault="00B44D9D" w:rsidP="00C1048E">
      <w:pPr>
        <w:pStyle w:val="ListParagraph"/>
        <w:numPr>
          <w:ilvl w:val="0"/>
          <w:numId w:val="23"/>
        </w:numPr>
      </w:pPr>
      <w:r>
        <w:t>Development of new models of working including co-location of facilities</w:t>
      </w:r>
    </w:p>
    <w:p w14:paraId="0E77A10D" w14:textId="77777777" w:rsidR="00A008EB" w:rsidRDefault="00A008EB" w:rsidP="000F64C3"/>
    <w:p w14:paraId="6B8CCDE6" w14:textId="552A64FD" w:rsidR="00A008EB" w:rsidRDefault="00A008EB" w:rsidP="000F64C3">
      <w:r>
        <w:t xml:space="preserve">An early action for the Asset Management Board will be to run a partnership workshop in 2015 with </w:t>
      </w:r>
      <w:r w:rsidR="00BF3432">
        <w:t>a range</w:t>
      </w:r>
      <w:r>
        <w:t xml:space="preserve"> of external organisations to identify a joint-programme of action. </w:t>
      </w:r>
    </w:p>
    <w:p w14:paraId="729565BD" w14:textId="13C3F076" w:rsidR="004A2509" w:rsidRDefault="00A008EB" w:rsidP="000F64C3">
      <w:r>
        <w:t xml:space="preserve"> </w:t>
      </w:r>
    </w:p>
    <w:p w14:paraId="2DA39913" w14:textId="373D29A5" w:rsidR="00784980" w:rsidRPr="00784980" w:rsidRDefault="00E87616" w:rsidP="00784980">
      <w:pPr>
        <w:rPr>
          <w:u w:val="single"/>
        </w:rPr>
      </w:pPr>
      <w:r>
        <w:rPr>
          <w:u w:val="single"/>
        </w:rPr>
        <w:lastRenderedPageBreak/>
        <w:t xml:space="preserve">(iii) </w:t>
      </w:r>
      <w:r w:rsidR="00784980" w:rsidRPr="00784980">
        <w:rPr>
          <w:u w:val="single"/>
        </w:rPr>
        <w:t>Schools estate</w:t>
      </w:r>
    </w:p>
    <w:p w14:paraId="78344078" w14:textId="77777777" w:rsidR="00784980" w:rsidRDefault="00784980" w:rsidP="00784980"/>
    <w:p w14:paraId="2022DE2F" w14:textId="0381EA2A" w:rsidR="00784980" w:rsidRPr="007F22EE" w:rsidRDefault="00784980" w:rsidP="00784980">
      <w:pPr>
        <w:rPr>
          <w:bCs/>
          <w:iCs/>
        </w:rPr>
      </w:pPr>
      <w:r w:rsidRPr="007F22EE">
        <w:rPr>
          <w:bCs/>
          <w:iCs/>
        </w:rPr>
        <w:t>Over the past decade, in excess of £300m – a combination of central government and council money – has been spent on rebuilding or refurbishing ove</w:t>
      </w:r>
      <w:r w:rsidR="00951314">
        <w:rPr>
          <w:bCs/>
          <w:iCs/>
        </w:rPr>
        <w:t xml:space="preserve">r 20 of the borough’s schools.  </w:t>
      </w:r>
      <w:r w:rsidRPr="007F22EE">
        <w:rPr>
          <w:bCs/>
          <w:iCs/>
        </w:rPr>
        <w:t xml:space="preserve">Additionally, two brand-new schools have been built, not to mention the primary schools which have expanded to provide much-needed extra places. </w:t>
      </w:r>
    </w:p>
    <w:p w14:paraId="74B2722F" w14:textId="77777777" w:rsidR="00784980" w:rsidRPr="007F22EE" w:rsidRDefault="00784980" w:rsidP="00784980">
      <w:pPr>
        <w:rPr>
          <w:bCs/>
          <w:iCs/>
        </w:rPr>
      </w:pPr>
    </w:p>
    <w:p w14:paraId="7CD36F5B" w14:textId="77777777" w:rsidR="00784980" w:rsidRPr="007F22EE" w:rsidRDefault="00784980" w:rsidP="00784980">
      <w:pPr>
        <w:rPr>
          <w:bCs/>
          <w:iCs/>
        </w:rPr>
      </w:pPr>
      <w:r w:rsidRPr="007F22EE">
        <w:rPr>
          <w:bCs/>
          <w:iCs/>
        </w:rPr>
        <w:t xml:space="preserve">The majority of these projects were funded through the Building Schools for the Future programme, an initiative by the previous government to replace, rebuild or renovate every secondary school in England over a 15-20 year period. Although the new government decided in 2010 to cancel the programme, all Lewisham’s BSF projects had achieved financial close and so have been able to proceed. </w:t>
      </w:r>
    </w:p>
    <w:p w14:paraId="5663E0AE" w14:textId="77777777" w:rsidR="00784980" w:rsidRPr="007F22EE" w:rsidRDefault="00784980" w:rsidP="00784980">
      <w:pPr>
        <w:rPr>
          <w:bCs/>
          <w:iCs/>
        </w:rPr>
      </w:pPr>
    </w:p>
    <w:p w14:paraId="50AF5F55" w14:textId="77777777" w:rsidR="00784980" w:rsidRPr="007F22EE" w:rsidRDefault="00784980" w:rsidP="00784980">
      <w:pPr>
        <w:rPr>
          <w:bCs/>
          <w:iCs/>
        </w:rPr>
      </w:pPr>
      <w:r w:rsidRPr="007F22EE">
        <w:rPr>
          <w:bCs/>
          <w:iCs/>
        </w:rPr>
        <w:t xml:space="preserve">Lewisham is continuing to deliver one of the most ambitious programmes in the country, with construction now underway on the final two schools in the programme - Brent Knoll (due for completion 2015) and Sydenham School (2016).   </w:t>
      </w:r>
    </w:p>
    <w:p w14:paraId="72E91DD6" w14:textId="77777777" w:rsidR="00784980" w:rsidRPr="007F22EE" w:rsidRDefault="00784980" w:rsidP="00784980">
      <w:pPr>
        <w:rPr>
          <w:bCs/>
          <w:iCs/>
        </w:rPr>
      </w:pPr>
    </w:p>
    <w:p w14:paraId="742A9266" w14:textId="77777777" w:rsidR="00784980" w:rsidRPr="00166953" w:rsidRDefault="00784980" w:rsidP="00784980">
      <w:pPr>
        <w:rPr>
          <w:bCs/>
          <w:iCs/>
        </w:rPr>
      </w:pPr>
      <w:r w:rsidRPr="007F22EE">
        <w:rPr>
          <w:bCs/>
          <w:iCs/>
        </w:rPr>
        <w:t>Schools built, rebuilt or otherwise improved during recent years include Trinity (2011), Beecroft Garden Primary School (2012), Tidemill Academy (2012), Addey &amp; Stanhope School (2012), Deptford Green School (2012), Prendergast Vale College (2012), Abbey Manor College (2012), Gordonbrock Primary School (2012), Kender Primary School (2012), Kelvin Grove Primary School (2012), Christ the King College: Aquinas (2013), Drumbeat (2013), Bonus Pastor Catholic College (2013) and Prendergast</w:t>
      </w:r>
      <w:r>
        <w:rPr>
          <w:bCs/>
          <w:iCs/>
        </w:rPr>
        <w:t xml:space="preserve"> Hilly Fields College (2013).  </w:t>
      </w:r>
    </w:p>
    <w:p w14:paraId="203F5668" w14:textId="77777777" w:rsidR="00784980" w:rsidRPr="005B724A" w:rsidRDefault="00784980" w:rsidP="00784980"/>
    <w:p w14:paraId="38E2974B" w14:textId="77777777" w:rsidR="00784980" w:rsidRPr="00183B93" w:rsidRDefault="00784980" w:rsidP="00784980">
      <w:pPr>
        <w:rPr>
          <w:i/>
        </w:rPr>
      </w:pPr>
      <w:r w:rsidRPr="00183B93">
        <w:rPr>
          <w:i/>
        </w:rPr>
        <w:t>Future needs</w:t>
      </w:r>
    </w:p>
    <w:p w14:paraId="67D2E4F8" w14:textId="77777777" w:rsidR="00784980" w:rsidRDefault="00784980" w:rsidP="00784980"/>
    <w:p w14:paraId="20A6FE4C" w14:textId="77777777" w:rsidR="00784980" w:rsidRPr="005B724A" w:rsidRDefault="00784980" w:rsidP="00784980">
      <w:r w:rsidRPr="005B724A">
        <w:t>Population growth in the borough has driven a continuing rise in the number of children under five and led to an unprecedented demand for primary places in Lewisham’s schools.  Current forecasts are that the borough needs to increase places by 20% to ensure every child gets a place.</w:t>
      </w:r>
    </w:p>
    <w:p w14:paraId="41767B48" w14:textId="77777777" w:rsidR="00784980" w:rsidRPr="005B724A" w:rsidRDefault="00784980" w:rsidP="00784980"/>
    <w:p w14:paraId="7964528B" w14:textId="1DA4E576" w:rsidR="00784980" w:rsidRPr="005B724A" w:rsidRDefault="00784980" w:rsidP="00784980">
      <w:r w:rsidRPr="005B724A">
        <w:t>Over the past three years 12 new forms of entry have been added to existing schools, resulting in an additional 360 places.  An additional programme of temporary enlargements (“bulge classes”) ha</w:t>
      </w:r>
      <w:r w:rsidR="00BF3432">
        <w:t>s</w:t>
      </w:r>
      <w:r w:rsidRPr="005B724A">
        <w:t xml:space="preserve"> ensure</w:t>
      </w:r>
      <w:r w:rsidR="00BF3432">
        <w:t>d</w:t>
      </w:r>
      <w:r w:rsidRPr="005B724A">
        <w:t xml:space="preserve"> that the Council has </w:t>
      </w:r>
      <w:r w:rsidR="00BF3432">
        <w:t>be</w:t>
      </w:r>
      <w:r w:rsidRPr="005B724A">
        <w:t>en able to maintain an offer of a place for all families requiring one.</w:t>
      </w:r>
    </w:p>
    <w:p w14:paraId="18BF9316" w14:textId="77777777" w:rsidR="00784980" w:rsidRPr="005B724A" w:rsidRDefault="00784980" w:rsidP="00784980"/>
    <w:p w14:paraId="087A7EC0" w14:textId="305F9D55" w:rsidR="00784980" w:rsidRPr="005B724A" w:rsidRDefault="00784980" w:rsidP="00784980">
      <w:r w:rsidRPr="005B724A">
        <w:t xml:space="preserve">The Council is currently developing a long-term strategy for additional places to meet the projected demand up to 2030.  A feasibility study is looking at the capacity for permanent school expansion / redevelopment across 90 sites including primary, secondary, sixth form and special educational needs provision.  The results of the study will be used to develop a delivery programme for school expansions and the associated funding requirements.  Implementation of the expansion programme will be dependent on the availability of resources including from </w:t>
      </w:r>
      <w:r w:rsidRPr="005A6FA9">
        <w:t>central Government, but also potentially in relation to future developments in the borough.</w:t>
      </w:r>
    </w:p>
    <w:p w14:paraId="5E5D315D" w14:textId="77777777" w:rsidR="00784980" w:rsidRPr="005B724A" w:rsidRDefault="00784980" w:rsidP="00784980"/>
    <w:p w14:paraId="383B9DAB" w14:textId="77777777" w:rsidR="00784980" w:rsidRPr="00183B93" w:rsidRDefault="00784980" w:rsidP="00784980">
      <w:pPr>
        <w:pStyle w:val="Header"/>
        <w:tabs>
          <w:tab w:val="clear" w:pos="4153"/>
          <w:tab w:val="clear" w:pos="8306"/>
          <w:tab w:val="left" w:pos="1890"/>
        </w:tabs>
        <w:jc w:val="both"/>
        <w:rPr>
          <w:rFonts w:asciiTheme="minorHAnsi" w:hAnsiTheme="minorHAnsi" w:cstheme="minorHAnsi"/>
          <w:i/>
          <w:sz w:val="22"/>
          <w:szCs w:val="22"/>
        </w:rPr>
      </w:pPr>
      <w:r w:rsidRPr="00183B93">
        <w:rPr>
          <w:rFonts w:asciiTheme="minorHAnsi" w:hAnsiTheme="minorHAnsi" w:cstheme="minorHAnsi"/>
          <w:i/>
          <w:sz w:val="22"/>
          <w:szCs w:val="22"/>
        </w:rPr>
        <w:t xml:space="preserve"> Extended use of schools</w:t>
      </w:r>
    </w:p>
    <w:p w14:paraId="621C7DA3" w14:textId="77777777" w:rsidR="00784980" w:rsidRPr="007F22EE" w:rsidRDefault="00784980" w:rsidP="00784980">
      <w:pPr>
        <w:pStyle w:val="Header"/>
        <w:tabs>
          <w:tab w:val="clear" w:pos="4153"/>
          <w:tab w:val="clear" w:pos="8306"/>
          <w:tab w:val="left" w:pos="1890"/>
        </w:tabs>
        <w:jc w:val="both"/>
        <w:rPr>
          <w:rFonts w:asciiTheme="minorHAnsi" w:hAnsiTheme="minorHAnsi" w:cstheme="minorHAnsi"/>
          <w:color w:val="000000"/>
          <w:sz w:val="22"/>
          <w:szCs w:val="22"/>
          <w:u w:val="single"/>
        </w:rPr>
      </w:pPr>
    </w:p>
    <w:p w14:paraId="7A0CD238" w14:textId="2E36922D" w:rsidR="00784980" w:rsidRPr="00F57149" w:rsidRDefault="00784980" w:rsidP="00784980">
      <w:pPr>
        <w:autoSpaceDE w:val="0"/>
        <w:autoSpaceDN w:val="0"/>
        <w:adjustRightInd w:val="0"/>
        <w:jc w:val="both"/>
        <w:rPr>
          <w:rFonts w:asciiTheme="minorHAnsi" w:hAnsiTheme="minorHAnsi" w:cstheme="minorHAnsi"/>
        </w:rPr>
      </w:pPr>
      <w:r>
        <w:rPr>
          <w:rFonts w:asciiTheme="minorHAnsi" w:hAnsiTheme="minorHAnsi" w:cstheme="minorHAnsi"/>
        </w:rPr>
        <w:t>There is</w:t>
      </w:r>
      <w:r w:rsidRPr="00F57149">
        <w:rPr>
          <w:rFonts w:asciiTheme="minorHAnsi" w:hAnsiTheme="minorHAnsi" w:cstheme="minorHAnsi"/>
        </w:rPr>
        <w:t xml:space="preserve"> recognition that the majority of schools in the borough have facilities that could be better utilised by the wider community. In particular, the secondary estate has had considerable investment over recent years deliver</w:t>
      </w:r>
      <w:r>
        <w:rPr>
          <w:rFonts w:asciiTheme="minorHAnsi" w:hAnsiTheme="minorHAnsi" w:cstheme="minorHAnsi"/>
        </w:rPr>
        <w:t>ing</w:t>
      </w:r>
      <w:r w:rsidRPr="00F57149">
        <w:rPr>
          <w:rFonts w:asciiTheme="minorHAnsi" w:hAnsiTheme="minorHAnsi" w:cstheme="minorHAnsi"/>
        </w:rPr>
        <w:t xml:space="preserve"> a range of high quality facilities </w:t>
      </w:r>
      <w:r>
        <w:rPr>
          <w:rFonts w:asciiTheme="minorHAnsi" w:hAnsiTheme="minorHAnsi" w:cstheme="minorHAnsi"/>
        </w:rPr>
        <w:t xml:space="preserve">that </w:t>
      </w:r>
      <w:r w:rsidRPr="00F57149">
        <w:rPr>
          <w:rFonts w:asciiTheme="minorHAnsi" w:hAnsiTheme="minorHAnsi" w:cstheme="minorHAnsi"/>
        </w:rPr>
        <w:t xml:space="preserve">have </w:t>
      </w:r>
      <w:r>
        <w:rPr>
          <w:rFonts w:asciiTheme="minorHAnsi" w:hAnsiTheme="minorHAnsi" w:cstheme="minorHAnsi"/>
        </w:rPr>
        <w:t xml:space="preserve">often </w:t>
      </w:r>
      <w:r w:rsidRPr="00F57149">
        <w:rPr>
          <w:rFonts w:asciiTheme="minorHAnsi" w:hAnsiTheme="minorHAnsi" w:cstheme="minorHAnsi"/>
        </w:rPr>
        <w:t xml:space="preserve">been purposefully designed to enable community use. However uptake of use is limited and </w:t>
      </w:r>
      <w:r w:rsidR="00BF3432">
        <w:rPr>
          <w:rFonts w:asciiTheme="minorHAnsi" w:hAnsiTheme="minorHAnsi" w:cstheme="minorHAnsi"/>
        </w:rPr>
        <w:t xml:space="preserve">is </w:t>
      </w:r>
      <w:r w:rsidRPr="00F57149">
        <w:rPr>
          <w:rFonts w:asciiTheme="minorHAnsi" w:hAnsiTheme="minorHAnsi" w:cstheme="minorHAnsi"/>
        </w:rPr>
        <w:t>often based on individual relationships</w:t>
      </w:r>
      <w:r>
        <w:rPr>
          <w:rFonts w:asciiTheme="minorHAnsi" w:hAnsiTheme="minorHAnsi" w:cstheme="minorHAnsi"/>
        </w:rPr>
        <w:t>,</w:t>
      </w:r>
      <w:r w:rsidRPr="00F57149">
        <w:rPr>
          <w:rFonts w:asciiTheme="minorHAnsi" w:hAnsiTheme="minorHAnsi" w:cstheme="minorHAnsi"/>
        </w:rPr>
        <w:t xml:space="preserve"> </w:t>
      </w:r>
      <w:r w:rsidR="00BF3432">
        <w:rPr>
          <w:rFonts w:asciiTheme="minorHAnsi" w:hAnsiTheme="minorHAnsi" w:cstheme="minorHAnsi"/>
        </w:rPr>
        <w:t>while hire-rates</w:t>
      </w:r>
      <w:r w:rsidRPr="00F57149">
        <w:rPr>
          <w:rFonts w:asciiTheme="minorHAnsi" w:hAnsiTheme="minorHAnsi" w:cstheme="minorHAnsi"/>
        </w:rPr>
        <w:t xml:space="preserve"> are not clear or consistent from school to school. The Council has previously attempted to address this situation but for a number of reasons has not succeeded to date. </w:t>
      </w:r>
    </w:p>
    <w:p w14:paraId="58E99FC9" w14:textId="77777777" w:rsidR="00784980" w:rsidRPr="00F57149" w:rsidRDefault="00784980" w:rsidP="00784980">
      <w:pPr>
        <w:autoSpaceDE w:val="0"/>
        <w:autoSpaceDN w:val="0"/>
        <w:adjustRightInd w:val="0"/>
        <w:jc w:val="both"/>
        <w:rPr>
          <w:rFonts w:asciiTheme="minorHAnsi" w:hAnsiTheme="minorHAnsi" w:cstheme="minorHAnsi"/>
        </w:rPr>
      </w:pPr>
    </w:p>
    <w:p w14:paraId="2EA586BA" w14:textId="36825F26" w:rsidR="00B44D9D" w:rsidRDefault="00784980" w:rsidP="00FF70F7">
      <w:pPr>
        <w:autoSpaceDE w:val="0"/>
        <w:autoSpaceDN w:val="0"/>
        <w:adjustRightInd w:val="0"/>
        <w:jc w:val="both"/>
        <w:rPr>
          <w:rFonts w:asciiTheme="minorHAnsi" w:hAnsiTheme="minorHAnsi" w:cstheme="minorHAnsi"/>
        </w:rPr>
      </w:pPr>
      <w:r>
        <w:rPr>
          <w:rFonts w:asciiTheme="minorHAnsi" w:hAnsiTheme="minorHAnsi" w:cstheme="minorHAnsi"/>
        </w:rPr>
        <w:t>The range of Council owned and run facilities has reduced significantly in recent years and will continue to decline as a result of financial pressures</w:t>
      </w:r>
      <w:r w:rsidRPr="00F57149">
        <w:rPr>
          <w:rFonts w:asciiTheme="minorHAnsi" w:hAnsiTheme="minorHAnsi" w:cstheme="minorHAnsi"/>
        </w:rPr>
        <w:t xml:space="preserve">. </w:t>
      </w:r>
      <w:r>
        <w:rPr>
          <w:rFonts w:asciiTheme="minorHAnsi" w:hAnsiTheme="minorHAnsi" w:cstheme="minorHAnsi"/>
        </w:rPr>
        <w:t xml:space="preserve">This is affecting </w:t>
      </w:r>
      <w:r w:rsidRPr="00F57149">
        <w:rPr>
          <w:rFonts w:asciiTheme="minorHAnsi" w:hAnsiTheme="minorHAnsi" w:cstheme="minorHAnsi"/>
        </w:rPr>
        <w:t>community groups offer</w:t>
      </w:r>
      <w:r>
        <w:rPr>
          <w:rFonts w:asciiTheme="minorHAnsi" w:hAnsiTheme="minorHAnsi" w:cstheme="minorHAnsi"/>
        </w:rPr>
        <w:t xml:space="preserve">ing highly valued </w:t>
      </w:r>
      <w:r w:rsidRPr="00F57149">
        <w:rPr>
          <w:rFonts w:asciiTheme="minorHAnsi" w:hAnsiTheme="minorHAnsi" w:cstheme="minorHAnsi"/>
        </w:rPr>
        <w:t xml:space="preserve">support services, </w:t>
      </w:r>
      <w:r>
        <w:rPr>
          <w:rFonts w:asciiTheme="minorHAnsi" w:hAnsiTheme="minorHAnsi" w:cstheme="minorHAnsi"/>
        </w:rPr>
        <w:t xml:space="preserve">and school facilities may offer an alternative way to continue to offer these services.  Once of the barriers to this is a basic understanding of what facilities exist, how to access them and what the </w:t>
      </w:r>
      <w:r w:rsidRPr="00F57149">
        <w:rPr>
          <w:rFonts w:asciiTheme="minorHAnsi" w:hAnsiTheme="minorHAnsi" w:cstheme="minorHAnsi"/>
        </w:rPr>
        <w:t>cost</w:t>
      </w:r>
      <w:r>
        <w:rPr>
          <w:rFonts w:asciiTheme="minorHAnsi" w:hAnsiTheme="minorHAnsi" w:cstheme="minorHAnsi"/>
        </w:rPr>
        <w:t>s are</w:t>
      </w:r>
      <w:r w:rsidRPr="00F57149">
        <w:rPr>
          <w:rFonts w:asciiTheme="minorHAnsi" w:hAnsiTheme="minorHAnsi" w:cstheme="minorHAnsi"/>
        </w:rPr>
        <w:t xml:space="preserve">. </w:t>
      </w:r>
      <w:r>
        <w:rPr>
          <w:rFonts w:asciiTheme="minorHAnsi" w:hAnsiTheme="minorHAnsi" w:cstheme="minorHAnsi"/>
        </w:rPr>
        <w:t xml:space="preserve"> </w:t>
      </w:r>
      <w:r w:rsidRPr="00F57149">
        <w:rPr>
          <w:rFonts w:asciiTheme="minorHAnsi" w:hAnsiTheme="minorHAnsi" w:cstheme="minorHAnsi"/>
        </w:rPr>
        <w:t xml:space="preserve">A project team has been </w:t>
      </w:r>
      <w:r>
        <w:rPr>
          <w:rFonts w:asciiTheme="minorHAnsi" w:hAnsiTheme="minorHAnsi" w:cstheme="minorHAnsi"/>
        </w:rPr>
        <w:t xml:space="preserve">established </w:t>
      </w:r>
      <w:r w:rsidRPr="00F57149">
        <w:rPr>
          <w:rFonts w:asciiTheme="minorHAnsi" w:hAnsiTheme="minorHAnsi" w:cstheme="minorHAnsi"/>
        </w:rPr>
        <w:t xml:space="preserve">to review lessons learnt from previous attempts to improve usage of the schools estate and build a new project that has the capacity to support the use of schools by the community, outside of school hours. This project involves engagement of offers from Community Services and Youth Services, both services have the opportunity to </w:t>
      </w:r>
      <w:r w:rsidRPr="00F57149">
        <w:rPr>
          <w:rFonts w:asciiTheme="minorHAnsi" w:hAnsiTheme="minorHAnsi" w:cstheme="minorHAnsi"/>
        </w:rPr>
        <w:lastRenderedPageBreak/>
        <w:t>benefit from having access to schools to both accommodate community groups who promote their agendas or to directly deliver services from. The use of school facilities will allow these services to better rationalise the assets that they own which can improve the efficiency of their services and save the Council money overall.</w:t>
      </w:r>
      <w:r w:rsidR="00FF70F7">
        <w:rPr>
          <w:rFonts w:asciiTheme="minorHAnsi" w:hAnsiTheme="minorHAnsi" w:cstheme="minorHAnsi"/>
        </w:rPr>
        <w:t xml:space="preserve"> </w:t>
      </w:r>
    </w:p>
    <w:p w14:paraId="08A205DB" w14:textId="77777777" w:rsidR="00470E00" w:rsidRPr="00470E00" w:rsidRDefault="00470E00" w:rsidP="00470E00"/>
    <w:p w14:paraId="6C20F313" w14:textId="529380F0" w:rsidR="004019B8" w:rsidRPr="00160C74" w:rsidRDefault="00583E7B" w:rsidP="00583E7B">
      <w:pPr>
        <w:rPr>
          <w:b/>
          <w:sz w:val="24"/>
          <w:szCs w:val="24"/>
        </w:rPr>
      </w:pPr>
      <w:r w:rsidRPr="00160C74">
        <w:rPr>
          <w:b/>
          <w:sz w:val="24"/>
          <w:szCs w:val="24"/>
        </w:rPr>
        <w:t>3.3</w:t>
      </w:r>
      <w:r w:rsidRPr="00160C74">
        <w:rPr>
          <w:b/>
          <w:sz w:val="24"/>
          <w:szCs w:val="24"/>
        </w:rPr>
        <w:tab/>
      </w:r>
      <w:r w:rsidR="00301D5C" w:rsidRPr="00160C74">
        <w:rPr>
          <w:b/>
          <w:sz w:val="24"/>
          <w:szCs w:val="24"/>
        </w:rPr>
        <w:t>Accommodation strategy</w:t>
      </w:r>
      <w:r w:rsidR="00845C7E" w:rsidRPr="00160C74">
        <w:rPr>
          <w:b/>
          <w:sz w:val="24"/>
          <w:szCs w:val="24"/>
        </w:rPr>
        <w:t xml:space="preserve"> for the operational estate</w:t>
      </w:r>
    </w:p>
    <w:p w14:paraId="48785106" w14:textId="77777777" w:rsidR="00D745E7" w:rsidRDefault="00D745E7" w:rsidP="00D745E7">
      <w:pPr>
        <w:rPr>
          <w:u w:val="single"/>
        </w:rPr>
      </w:pPr>
    </w:p>
    <w:p w14:paraId="19CA372A" w14:textId="77777777" w:rsidR="00782EE3" w:rsidRDefault="00782EE3" w:rsidP="00782EE3">
      <w:r>
        <w:t>This section describes the approach proposed to reshaping the corporate portfolio including:</w:t>
      </w:r>
    </w:p>
    <w:p w14:paraId="7DB30964" w14:textId="77777777" w:rsidR="00782EE3" w:rsidRDefault="00782EE3" w:rsidP="00C1048E">
      <w:pPr>
        <w:pStyle w:val="ListParagraph"/>
        <w:numPr>
          <w:ilvl w:val="0"/>
          <w:numId w:val="33"/>
        </w:numPr>
      </w:pPr>
      <w:r>
        <w:t>Asset Optimisation</w:t>
      </w:r>
    </w:p>
    <w:p w14:paraId="587C37F0" w14:textId="77777777" w:rsidR="00782EE3" w:rsidRDefault="00782EE3" w:rsidP="00C1048E">
      <w:pPr>
        <w:pStyle w:val="ListParagraph"/>
        <w:numPr>
          <w:ilvl w:val="0"/>
          <w:numId w:val="33"/>
        </w:numPr>
      </w:pPr>
      <w:r>
        <w:t>Facilities Management (FM) contracts</w:t>
      </w:r>
    </w:p>
    <w:p w14:paraId="307AE0B5" w14:textId="77777777" w:rsidR="00782EE3" w:rsidRDefault="00782EE3" w:rsidP="00C1048E">
      <w:pPr>
        <w:pStyle w:val="ListParagraph"/>
        <w:numPr>
          <w:ilvl w:val="0"/>
          <w:numId w:val="33"/>
        </w:numPr>
      </w:pPr>
      <w:r>
        <w:t>A sustainable and efficient estate</w:t>
      </w:r>
    </w:p>
    <w:p w14:paraId="03688280" w14:textId="77777777" w:rsidR="00782EE3" w:rsidRPr="007E4FAB" w:rsidRDefault="00782EE3" w:rsidP="00D745E7"/>
    <w:p w14:paraId="657F8A97" w14:textId="51866159" w:rsidR="007E4FAB" w:rsidRPr="007E4FAB" w:rsidRDefault="007E4FAB" w:rsidP="00D745E7">
      <w:r w:rsidRPr="007E4FAB">
        <w:t xml:space="preserve">This is </w:t>
      </w:r>
      <w:r w:rsidR="000B688E" w:rsidRPr="007E4FAB">
        <w:t>intended</w:t>
      </w:r>
      <w:r w:rsidRPr="007E4FAB">
        <w:t xml:space="preserve"> to </w:t>
      </w:r>
      <w:r>
        <w:t xml:space="preserve">provide the strategic and long-term objectives and operational planning to ensure that the Council’s corporate assets provide high quality and fit for purpose facilities </w:t>
      </w:r>
      <w:r w:rsidR="00167069">
        <w:t>that respond to the need to operate within significantly reduced resources.</w:t>
      </w:r>
    </w:p>
    <w:p w14:paraId="59329825" w14:textId="77777777" w:rsidR="007E4FAB" w:rsidRPr="007E4FAB" w:rsidRDefault="007E4FAB" w:rsidP="00D745E7"/>
    <w:p w14:paraId="4AD03D5B" w14:textId="633BB090" w:rsidR="005B724A" w:rsidRDefault="005B724A" w:rsidP="00D745E7">
      <w:r w:rsidRPr="005B724A">
        <w:t>The Asset Register identifies 106 operational assets in the Council’s corporate portfolio.  These include corporate office accommodation, civic buildings and service delivery buildings such as depots, community centres, day centres, youth centres, children centres and libraries.</w:t>
      </w:r>
      <w:r>
        <w:t xml:space="preserve">  Operational sites are all included within the corporate facilities </w:t>
      </w:r>
      <w:r w:rsidRPr="004005D2">
        <w:t>management contract and corpor</w:t>
      </w:r>
      <w:r w:rsidR="00A008EB" w:rsidRPr="004005D2">
        <w:t>ate energy and water contracts.</w:t>
      </w:r>
      <w:r w:rsidR="00951314" w:rsidRPr="004005D2">
        <w:t xml:space="preserve"> </w:t>
      </w:r>
      <w:r w:rsidRPr="004005D2">
        <w:t>The 106 operational properties break</w:t>
      </w:r>
      <w:r w:rsidR="00000103" w:rsidRPr="004005D2">
        <w:t xml:space="preserve"> </w:t>
      </w:r>
      <w:r w:rsidRPr="004005D2">
        <w:t>down as</w:t>
      </w:r>
      <w:r>
        <w:t xml:space="preserve"> follows:</w:t>
      </w:r>
    </w:p>
    <w:tbl>
      <w:tblPr>
        <w:tblStyle w:val="TableGrid"/>
        <w:tblW w:w="0" w:type="auto"/>
        <w:tblLook w:val="04A0" w:firstRow="1" w:lastRow="0" w:firstColumn="1" w:lastColumn="0" w:noHBand="0" w:noVBand="1"/>
      </w:tblPr>
      <w:tblGrid>
        <w:gridCol w:w="3652"/>
        <w:gridCol w:w="3969"/>
        <w:gridCol w:w="1701"/>
        <w:gridCol w:w="1360"/>
      </w:tblGrid>
      <w:tr w:rsidR="00000103" w:rsidRPr="00FC5B1F" w14:paraId="78A92061" w14:textId="77777777" w:rsidTr="002C119A">
        <w:tc>
          <w:tcPr>
            <w:tcW w:w="3652" w:type="dxa"/>
            <w:shd w:val="clear" w:color="auto" w:fill="A6A6A6" w:themeFill="background1" w:themeFillShade="A6"/>
          </w:tcPr>
          <w:p w14:paraId="14A38822" w14:textId="43FDF068" w:rsidR="00000103" w:rsidRPr="00FC5B1F" w:rsidRDefault="00000103" w:rsidP="00D745E7">
            <w:pPr>
              <w:rPr>
                <w:b/>
              </w:rPr>
            </w:pPr>
            <w:r w:rsidRPr="00FC5B1F">
              <w:rPr>
                <w:b/>
              </w:rPr>
              <w:t>Service</w:t>
            </w:r>
          </w:p>
        </w:tc>
        <w:tc>
          <w:tcPr>
            <w:tcW w:w="3969" w:type="dxa"/>
            <w:shd w:val="clear" w:color="auto" w:fill="A6A6A6" w:themeFill="background1" w:themeFillShade="A6"/>
          </w:tcPr>
          <w:p w14:paraId="60AA3A58" w14:textId="7FFC998D" w:rsidR="00000103" w:rsidRPr="00FC5B1F" w:rsidRDefault="00000103" w:rsidP="00D745E7">
            <w:pPr>
              <w:rPr>
                <w:b/>
              </w:rPr>
            </w:pPr>
            <w:r w:rsidRPr="00FC5B1F">
              <w:rPr>
                <w:b/>
              </w:rPr>
              <w:t>Directorate</w:t>
            </w:r>
          </w:p>
        </w:tc>
        <w:tc>
          <w:tcPr>
            <w:tcW w:w="1701" w:type="dxa"/>
            <w:shd w:val="clear" w:color="auto" w:fill="A6A6A6" w:themeFill="background1" w:themeFillShade="A6"/>
          </w:tcPr>
          <w:p w14:paraId="7D8D326F" w14:textId="189BA14C" w:rsidR="00000103" w:rsidRPr="00FC5B1F" w:rsidRDefault="00000103" w:rsidP="00D745E7">
            <w:pPr>
              <w:rPr>
                <w:b/>
              </w:rPr>
            </w:pPr>
            <w:r w:rsidRPr="00FC5B1F">
              <w:rPr>
                <w:b/>
              </w:rPr>
              <w:t>No. of assets</w:t>
            </w:r>
          </w:p>
        </w:tc>
        <w:tc>
          <w:tcPr>
            <w:tcW w:w="1360" w:type="dxa"/>
            <w:shd w:val="clear" w:color="auto" w:fill="A6A6A6" w:themeFill="background1" w:themeFillShade="A6"/>
          </w:tcPr>
          <w:p w14:paraId="2CD4BED1" w14:textId="5F914423" w:rsidR="00000103" w:rsidRPr="00FC5B1F" w:rsidRDefault="00000103" w:rsidP="00D745E7">
            <w:pPr>
              <w:rPr>
                <w:b/>
              </w:rPr>
            </w:pPr>
            <w:r w:rsidRPr="00FC5B1F">
              <w:rPr>
                <w:b/>
              </w:rPr>
              <w:t>GIA</w:t>
            </w:r>
            <w:r w:rsidR="00FC5B1F">
              <w:rPr>
                <w:b/>
              </w:rPr>
              <w:t xml:space="preserve"> (m</w:t>
            </w:r>
            <w:r w:rsidR="00FC5B1F" w:rsidRPr="00FC5B1F">
              <w:rPr>
                <w:b/>
                <w:vertAlign w:val="superscript"/>
              </w:rPr>
              <w:t>3</w:t>
            </w:r>
            <w:r w:rsidR="00FC5B1F">
              <w:rPr>
                <w:b/>
              </w:rPr>
              <w:t>)</w:t>
            </w:r>
          </w:p>
        </w:tc>
      </w:tr>
      <w:tr w:rsidR="00AD79AC" w14:paraId="53AF0C92" w14:textId="77777777" w:rsidTr="002C119A">
        <w:tc>
          <w:tcPr>
            <w:tcW w:w="3652" w:type="dxa"/>
          </w:tcPr>
          <w:p w14:paraId="0B4C1BE2" w14:textId="608A7C28" w:rsidR="00AD79AC" w:rsidRDefault="00AD79AC" w:rsidP="00D745E7">
            <w:r>
              <w:t>Early years / Children Centres</w:t>
            </w:r>
          </w:p>
        </w:tc>
        <w:tc>
          <w:tcPr>
            <w:tcW w:w="3969" w:type="dxa"/>
          </w:tcPr>
          <w:p w14:paraId="01D65D49" w14:textId="5BFAB119" w:rsidR="00AD79AC" w:rsidRDefault="00AD79AC" w:rsidP="00D745E7">
            <w:r>
              <w:t>Children and young people</w:t>
            </w:r>
          </w:p>
        </w:tc>
        <w:tc>
          <w:tcPr>
            <w:tcW w:w="1701" w:type="dxa"/>
          </w:tcPr>
          <w:p w14:paraId="17C56521" w14:textId="522A47C8" w:rsidR="00AD79AC" w:rsidRDefault="00AD79AC" w:rsidP="00B44D9D">
            <w:pPr>
              <w:jc w:val="right"/>
            </w:pPr>
            <w:r>
              <w:t>8</w:t>
            </w:r>
          </w:p>
        </w:tc>
        <w:tc>
          <w:tcPr>
            <w:tcW w:w="1360" w:type="dxa"/>
          </w:tcPr>
          <w:p w14:paraId="0AC571E5" w14:textId="62EFD924" w:rsidR="00AD79AC" w:rsidRDefault="00AD79AC" w:rsidP="00B44D9D">
            <w:pPr>
              <w:jc w:val="right"/>
            </w:pPr>
            <w:r>
              <w:t>2,934</w:t>
            </w:r>
          </w:p>
        </w:tc>
      </w:tr>
      <w:tr w:rsidR="00AD79AC" w14:paraId="07BF8892" w14:textId="77777777" w:rsidTr="002C119A">
        <w:tc>
          <w:tcPr>
            <w:tcW w:w="3652" w:type="dxa"/>
          </w:tcPr>
          <w:p w14:paraId="7D822795" w14:textId="791A58CD" w:rsidR="00AD79AC" w:rsidRDefault="00AD79AC" w:rsidP="00D745E7">
            <w:r>
              <w:t>Youth service</w:t>
            </w:r>
          </w:p>
        </w:tc>
        <w:tc>
          <w:tcPr>
            <w:tcW w:w="3969" w:type="dxa"/>
          </w:tcPr>
          <w:p w14:paraId="05358A93" w14:textId="38A99B14" w:rsidR="00AD79AC" w:rsidRDefault="00AD79AC" w:rsidP="00D745E7">
            <w:r>
              <w:t>Children and young people</w:t>
            </w:r>
          </w:p>
        </w:tc>
        <w:tc>
          <w:tcPr>
            <w:tcW w:w="1701" w:type="dxa"/>
          </w:tcPr>
          <w:p w14:paraId="7211DE39" w14:textId="09346EC4" w:rsidR="00AD79AC" w:rsidRDefault="00AD79AC" w:rsidP="00B44D9D">
            <w:pPr>
              <w:jc w:val="right"/>
            </w:pPr>
            <w:r>
              <w:t>10</w:t>
            </w:r>
          </w:p>
        </w:tc>
        <w:tc>
          <w:tcPr>
            <w:tcW w:w="1360" w:type="dxa"/>
          </w:tcPr>
          <w:p w14:paraId="32873315" w14:textId="266A1F88" w:rsidR="00AD79AC" w:rsidRDefault="00AD79AC" w:rsidP="00B44D9D">
            <w:pPr>
              <w:jc w:val="right"/>
            </w:pPr>
            <w:r>
              <w:t>4,629</w:t>
            </w:r>
          </w:p>
        </w:tc>
      </w:tr>
      <w:tr w:rsidR="00AD79AC" w14:paraId="792AE38D" w14:textId="77777777" w:rsidTr="002C119A">
        <w:tc>
          <w:tcPr>
            <w:tcW w:w="3652" w:type="dxa"/>
          </w:tcPr>
          <w:p w14:paraId="59E6F7A5" w14:textId="02CDB0FB" w:rsidR="00AD79AC" w:rsidRDefault="00AD79AC" w:rsidP="00D745E7">
            <w:r>
              <w:t>CYP other</w:t>
            </w:r>
          </w:p>
        </w:tc>
        <w:tc>
          <w:tcPr>
            <w:tcW w:w="3969" w:type="dxa"/>
          </w:tcPr>
          <w:p w14:paraId="0CB74E09" w14:textId="7A0DD092" w:rsidR="00AD79AC" w:rsidRDefault="00AD79AC" w:rsidP="00D745E7">
            <w:r>
              <w:t>Children and young people</w:t>
            </w:r>
          </w:p>
        </w:tc>
        <w:tc>
          <w:tcPr>
            <w:tcW w:w="1701" w:type="dxa"/>
          </w:tcPr>
          <w:p w14:paraId="6F39619E" w14:textId="3B6D1683" w:rsidR="00AD79AC" w:rsidRDefault="00AD79AC" w:rsidP="00B44D9D">
            <w:pPr>
              <w:jc w:val="right"/>
            </w:pPr>
            <w:r>
              <w:t>7</w:t>
            </w:r>
          </w:p>
        </w:tc>
        <w:tc>
          <w:tcPr>
            <w:tcW w:w="1360" w:type="dxa"/>
          </w:tcPr>
          <w:p w14:paraId="0762ED01" w14:textId="30699ED9" w:rsidR="00AD79AC" w:rsidRDefault="00AD79AC" w:rsidP="00B44D9D">
            <w:pPr>
              <w:jc w:val="right"/>
            </w:pPr>
            <w:r>
              <w:t>1,865</w:t>
            </w:r>
          </w:p>
        </w:tc>
      </w:tr>
      <w:tr w:rsidR="00AD79AC" w14:paraId="7CF8636D" w14:textId="77777777" w:rsidTr="002C119A">
        <w:tc>
          <w:tcPr>
            <w:tcW w:w="3652" w:type="dxa"/>
          </w:tcPr>
          <w:p w14:paraId="7D688E28" w14:textId="280B2E14" w:rsidR="00AD79AC" w:rsidRDefault="00AD79AC" w:rsidP="00D745E7">
            <w:r>
              <w:t>Community facilities</w:t>
            </w:r>
          </w:p>
        </w:tc>
        <w:tc>
          <w:tcPr>
            <w:tcW w:w="3969" w:type="dxa"/>
          </w:tcPr>
          <w:p w14:paraId="2F229123" w14:textId="3B68E253" w:rsidR="00AD79AC" w:rsidRDefault="00AD79AC" w:rsidP="00D745E7">
            <w:r>
              <w:t>Community services</w:t>
            </w:r>
          </w:p>
        </w:tc>
        <w:tc>
          <w:tcPr>
            <w:tcW w:w="1701" w:type="dxa"/>
          </w:tcPr>
          <w:p w14:paraId="5C26C840" w14:textId="60A38A13" w:rsidR="00AD79AC" w:rsidRDefault="00AD79AC" w:rsidP="00B44D9D">
            <w:pPr>
              <w:jc w:val="right"/>
            </w:pPr>
            <w:r>
              <w:rPr>
                <w:color w:val="000000"/>
                <w:sz w:val="20"/>
                <w:szCs w:val="20"/>
              </w:rPr>
              <w:t>  41</w:t>
            </w:r>
          </w:p>
        </w:tc>
        <w:tc>
          <w:tcPr>
            <w:tcW w:w="1360" w:type="dxa"/>
          </w:tcPr>
          <w:p w14:paraId="56DD259A" w14:textId="5EFFA919" w:rsidR="00AD79AC" w:rsidRDefault="00AD79AC" w:rsidP="00B44D9D">
            <w:pPr>
              <w:jc w:val="right"/>
            </w:pPr>
            <w:r>
              <w:t>19,825</w:t>
            </w:r>
          </w:p>
        </w:tc>
      </w:tr>
      <w:tr w:rsidR="00AD79AC" w14:paraId="73498548" w14:textId="77777777" w:rsidTr="002C119A">
        <w:tc>
          <w:tcPr>
            <w:tcW w:w="3652" w:type="dxa"/>
          </w:tcPr>
          <w:p w14:paraId="600B4EAC" w14:textId="4FF38524" w:rsidR="00AD79AC" w:rsidRDefault="00AD79AC" w:rsidP="00D745E7">
            <w:r>
              <w:t>Adult day service</w:t>
            </w:r>
          </w:p>
        </w:tc>
        <w:tc>
          <w:tcPr>
            <w:tcW w:w="3969" w:type="dxa"/>
          </w:tcPr>
          <w:p w14:paraId="2CD602EA" w14:textId="7B5C7677" w:rsidR="00AD79AC" w:rsidRDefault="00AD79AC" w:rsidP="00D745E7">
            <w:r>
              <w:t>Community services</w:t>
            </w:r>
          </w:p>
        </w:tc>
        <w:tc>
          <w:tcPr>
            <w:tcW w:w="1701" w:type="dxa"/>
          </w:tcPr>
          <w:p w14:paraId="293A8A19" w14:textId="5BE4FCE7" w:rsidR="00AD79AC" w:rsidRDefault="00AD79AC" w:rsidP="00B44D9D">
            <w:pPr>
              <w:jc w:val="right"/>
            </w:pPr>
            <w:r>
              <w:t>5</w:t>
            </w:r>
          </w:p>
        </w:tc>
        <w:tc>
          <w:tcPr>
            <w:tcW w:w="1360" w:type="dxa"/>
          </w:tcPr>
          <w:p w14:paraId="45D0B8AC" w14:textId="1106FBC0" w:rsidR="00AD79AC" w:rsidRDefault="00AD79AC" w:rsidP="00B44D9D">
            <w:pPr>
              <w:jc w:val="right"/>
            </w:pPr>
            <w:r>
              <w:t>5,537</w:t>
            </w:r>
          </w:p>
        </w:tc>
      </w:tr>
      <w:tr w:rsidR="00AD79AC" w14:paraId="588EEBDD" w14:textId="77777777" w:rsidTr="002C119A">
        <w:tc>
          <w:tcPr>
            <w:tcW w:w="3652" w:type="dxa"/>
          </w:tcPr>
          <w:p w14:paraId="668B2373" w14:textId="4C4798AF" w:rsidR="00AD79AC" w:rsidRDefault="00AD79AC" w:rsidP="00D745E7">
            <w:r>
              <w:t>Adult education</w:t>
            </w:r>
          </w:p>
        </w:tc>
        <w:tc>
          <w:tcPr>
            <w:tcW w:w="3969" w:type="dxa"/>
          </w:tcPr>
          <w:p w14:paraId="02DBDC35" w14:textId="41EFD28C" w:rsidR="00AD79AC" w:rsidRDefault="00AD79AC" w:rsidP="00D745E7">
            <w:r>
              <w:t>Community services</w:t>
            </w:r>
          </w:p>
        </w:tc>
        <w:tc>
          <w:tcPr>
            <w:tcW w:w="1701" w:type="dxa"/>
          </w:tcPr>
          <w:p w14:paraId="479B802C" w14:textId="438B513F" w:rsidR="00AD79AC" w:rsidRDefault="00AD79AC" w:rsidP="00B44D9D">
            <w:pPr>
              <w:jc w:val="right"/>
            </w:pPr>
            <w:r>
              <w:t>3</w:t>
            </w:r>
          </w:p>
        </w:tc>
        <w:tc>
          <w:tcPr>
            <w:tcW w:w="1360" w:type="dxa"/>
          </w:tcPr>
          <w:p w14:paraId="3390E431" w14:textId="53F4BC28" w:rsidR="00AD79AC" w:rsidRDefault="00AD79AC" w:rsidP="00B44D9D">
            <w:pPr>
              <w:jc w:val="right"/>
            </w:pPr>
            <w:r>
              <w:t>7,378</w:t>
            </w:r>
          </w:p>
        </w:tc>
      </w:tr>
      <w:tr w:rsidR="00AD79AC" w14:paraId="003D1FE9" w14:textId="77777777" w:rsidTr="002C119A">
        <w:tc>
          <w:tcPr>
            <w:tcW w:w="3652" w:type="dxa"/>
          </w:tcPr>
          <w:p w14:paraId="7DFB62BC" w14:textId="45EE0D32" w:rsidR="00AD79AC" w:rsidRDefault="00AD79AC" w:rsidP="00D745E7">
            <w:r>
              <w:t>Libraries</w:t>
            </w:r>
          </w:p>
        </w:tc>
        <w:tc>
          <w:tcPr>
            <w:tcW w:w="3969" w:type="dxa"/>
          </w:tcPr>
          <w:p w14:paraId="3007C441" w14:textId="5A3499B2" w:rsidR="00AD79AC" w:rsidRDefault="00AD79AC" w:rsidP="00D745E7">
            <w:r>
              <w:t>Community services</w:t>
            </w:r>
          </w:p>
        </w:tc>
        <w:tc>
          <w:tcPr>
            <w:tcW w:w="1701" w:type="dxa"/>
          </w:tcPr>
          <w:p w14:paraId="3500B221" w14:textId="14811FD4" w:rsidR="00AD79AC" w:rsidRDefault="00AD79AC" w:rsidP="00B44D9D">
            <w:pPr>
              <w:jc w:val="right"/>
            </w:pPr>
            <w:r>
              <w:t>5</w:t>
            </w:r>
          </w:p>
        </w:tc>
        <w:tc>
          <w:tcPr>
            <w:tcW w:w="1360" w:type="dxa"/>
          </w:tcPr>
          <w:p w14:paraId="76BE5E86" w14:textId="1D88971B" w:rsidR="00AD79AC" w:rsidRDefault="00AD79AC" w:rsidP="00B44D9D">
            <w:pPr>
              <w:jc w:val="right"/>
            </w:pPr>
            <w:r>
              <w:t>5,107</w:t>
            </w:r>
          </w:p>
        </w:tc>
      </w:tr>
      <w:tr w:rsidR="00AD79AC" w14:paraId="6D26DA27" w14:textId="77777777" w:rsidTr="002C119A">
        <w:tc>
          <w:tcPr>
            <w:tcW w:w="3652" w:type="dxa"/>
          </w:tcPr>
          <w:p w14:paraId="79530D44" w14:textId="4268B4D4" w:rsidR="00AD79AC" w:rsidRDefault="00AD79AC" w:rsidP="00D745E7">
            <w:r>
              <w:t>Community services other</w:t>
            </w:r>
          </w:p>
        </w:tc>
        <w:tc>
          <w:tcPr>
            <w:tcW w:w="3969" w:type="dxa"/>
          </w:tcPr>
          <w:p w14:paraId="0230E291" w14:textId="6BE48A19" w:rsidR="00AD79AC" w:rsidRDefault="00AD79AC" w:rsidP="00D745E7">
            <w:r>
              <w:t>Community services</w:t>
            </w:r>
          </w:p>
        </w:tc>
        <w:tc>
          <w:tcPr>
            <w:tcW w:w="1701" w:type="dxa"/>
          </w:tcPr>
          <w:p w14:paraId="287087B4" w14:textId="263E35B3" w:rsidR="00AD79AC" w:rsidRDefault="00AD79AC" w:rsidP="00B44D9D">
            <w:pPr>
              <w:jc w:val="right"/>
            </w:pPr>
            <w:r>
              <w:t>6</w:t>
            </w:r>
          </w:p>
        </w:tc>
        <w:tc>
          <w:tcPr>
            <w:tcW w:w="1360" w:type="dxa"/>
          </w:tcPr>
          <w:p w14:paraId="0012D29F" w14:textId="1C355D7D" w:rsidR="00AD79AC" w:rsidRDefault="00AD79AC" w:rsidP="00B44D9D">
            <w:pPr>
              <w:jc w:val="right"/>
            </w:pPr>
            <w:r>
              <w:t>5,577</w:t>
            </w:r>
          </w:p>
        </w:tc>
      </w:tr>
      <w:tr w:rsidR="00AD79AC" w14:paraId="0CE42B47" w14:textId="77777777" w:rsidTr="002C119A">
        <w:tc>
          <w:tcPr>
            <w:tcW w:w="3652" w:type="dxa"/>
          </w:tcPr>
          <w:p w14:paraId="46FBA65D" w14:textId="587D0B62" w:rsidR="00AD79AC" w:rsidRDefault="00AD79AC" w:rsidP="00FC5B1F">
            <w:r>
              <w:t>Parks</w:t>
            </w:r>
          </w:p>
        </w:tc>
        <w:tc>
          <w:tcPr>
            <w:tcW w:w="3969" w:type="dxa"/>
          </w:tcPr>
          <w:p w14:paraId="3F2A2111" w14:textId="41BF669D" w:rsidR="00AD79AC" w:rsidRDefault="00AD79AC" w:rsidP="00FC5B1F">
            <w:r>
              <w:t>Customer services</w:t>
            </w:r>
          </w:p>
        </w:tc>
        <w:tc>
          <w:tcPr>
            <w:tcW w:w="1701" w:type="dxa"/>
          </w:tcPr>
          <w:p w14:paraId="4E435680" w14:textId="5A0FBB38" w:rsidR="00AD79AC" w:rsidRDefault="00AD79AC" w:rsidP="00B44D9D">
            <w:pPr>
              <w:jc w:val="right"/>
            </w:pPr>
            <w:r>
              <w:t>1</w:t>
            </w:r>
          </w:p>
        </w:tc>
        <w:tc>
          <w:tcPr>
            <w:tcW w:w="1360" w:type="dxa"/>
          </w:tcPr>
          <w:p w14:paraId="085A57BA" w14:textId="465041A0" w:rsidR="00AD79AC" w:rsidRDefault="00AD79AC" w:rsidP="00B44D9D">
            <w:pPr>
              <w:jc w:val="right"/>
            </w:pPr>
            <w:r>
              <w:t>396</w:t>
            </w:r>
          </w:p>
        </w:tc>
      </w:tr>
      <w:tr w:rsidR="00AD79AC" w14:paraId="3FCBBA93" w14:textId="77777777" w:rsidTr="002C119A">
        <w:tc>
          <w:tcPr>
            <w:tcW w:w="3652" w:type="dxa"/>
          </w:tcPr>
          <w:p w14:paraId="285CF8D1" w14:textId="77C77ED6" w:rsidR="00AD79AC" w:rsidRDefault="00AD79AC" w:rsidP="00FC5B1F">
            <w:r>
              <w:t>Cemeteries and crematorium</w:t>
            </w:r>
          </w:p>
        </w:tc>
        <w:tc>
          <w:tcPr>
            <w:tcW w:w="3969" w:type="dxa"/>
          </w:tcPr>
          <w:p w14:paraId="11C24258" w14:textId="671C02ED" w:rsidR="00AD79AC" w:rsidRDefault="00AD79AC" w:rsidP="00FC5B1F">
            <w:r>
              <w:t>Customer services</w:t>
            </w:r>
          </w:p>
        </w:tc>
        <w:tc>
          <w:tcPr>
            <w:tcW w:w="1701" w:type="dxa"/>
          </w:tcPr>
          <w:p w14:paraId="6477EA55" w14:textId="70AA7E47" w:rsidR="00AD79AC" w:rsidRDefault="00AD79AC" w:rsidP="00B44D9D">
            <w:pPr>
              <w:jc w:val="right"/>
            </w:pPr>
            <w:r>
              <w:t>7</w:t>
            </w:r>
          </w:p>
        </w:tc>
        <w:tc>
          <w:tcPr>
            <w:tcW w:w="1360" w:type="dxa"/>
          </w:tcPr>
          <w:p w14:paraId="676599D7" w14:textId="0FF28054" w:rsidR="00AD79AC" w:rsidRDefault="00AD79AC" w:rsidP="00B44D9D">
            <w:pPr>
              <w:jc w:val="right"/>
            </w:pPr>
            <w:r>
              <w:t>3,207</w:t>
            </w:r>
          </w:p>
        </w:tc>
      </w:tr>
      <w:tr w:rsidR="00AD79AC" w14:paraId="5EADDA86" w14:textId="77777777" w:rsidTr="002C119A">
        <w:tc>
          <w:tcPr>
            <w:tcW w:w="3652" w:type="dxa"/>
          </w:tcPr>
          <w:p w14:paraId="3AB3F2FB" w14:textId="0BB29DDD" w:rsidR="00AD79AC" w:rsidRDefault="00AD79AC" w:rsidP="00FC5B1F">
            <w:r>
              <w:t>Customer services other</w:t>
            </w:r>
          </w:p>
        </w:tc>
        <w:tc>
          <w:tcPr>
            <w:tcW w:w="3969" w:type="dxa"/>
          </w:tcPr>
          <w:p w14:paraId="247D649F" w14:textId="723B3EFC" w:rsidR="00AD79AC" w:rsidRDefault="00AD79AC" w:rsidP="00FC5B1F">
            <w:r>
              <w:t>Customer services</w:t>
            </w:r>
          </w:p>
        </w:tc>
        <w:tc>
          <w:tcPr>
            <w:tcW w:w="1701" w:type="dxa"/>
          </w:tcPr>
          <w:p w14:paraId="7989EEA4" w14:textId="4C512836" w:rsidR="00AD79AC" w:rsidRDefault="00AD79AC" w:rsidP="00B44D9D">
            <w:pPr>
              <w:jc w:val="right"/>
            </w:pPr>
            <w:r>
              <w:t>4</w:t>
            </w:r>
          </w:p>
        </w:tc>
        <w:tc>
          <w:tcPr>
            <w:tcW w:w="1360" w:type="dxa"/>
          </w:tcPr>
          <w:p w14:paraId="3B950356" w14:textId="6531CAE3" w:rsidR="00AD79AC" w:rsidRDefault="00AD79AC" w:rsidP="00B44D9D">
            <w:pPr>
              <w:jc w:val="right"/>
            </w:pPr>
            <w:r>
              <w:t>619</w:t>
            </w:r>
          </w:p>
        </w:tc>
      </w:tr>
      <w:tr w:rsidR="00AD79AC" w14:paraId="79A93266" w14:textId="77777777" w:rsidTr="002C119A">
        <w:tc>
          <w:tcPr>
            <w:tcW w:w="3652" w:type="dxa"/>
          </w:tcPr>
          <w:p w14:paraId="4EA5302E" w14:textId="605D1820" w:rsidR="00AD79AC" w:rsidRDefault="00AD79AC" w:rsidP="00FC5B1F">
            <w:r>
              <w:t>Office accommodation</w:t>
            </w:r>
          </w:p>
        </w:tc>
        <w:tc>
          <w:tcPr>
            <w:tcW w:w="3969" w:type="dxa"/>
          </w:tcPr>
          <w:p w14:paraId="323624F6" w14:textId="65EC512A" w:rsidR="00AD79AC" w:rsidRDefault="00AD79AC" w:rsidP="00FC5B1F">
            <w:r>
              <w:t>Resources and regeneration</w:t>
            </w:r>
          </w:p>
        </w:tc>
        <w:tc>
          <w:tcPr>
            <w:tcW w:w="1701" w:type="dxa"/>
          </w:tcPr>
          <w:p w14:paraId="6234B972" w14:textId="3B057795" w:rsidR="00AD79AC" w:rsidRDefault="00AD79AC" w:rsidP="00B44D9D">
            <w:pPr>
              <w:jc w:val="right"/>
            </w:pPr>
            <w:r>
              <w:t>7</w:t>
            </w:r>
          </w:p>
        </w:tc>
        <w:tc>
          <w:tcPr>
            <w:tcW w:w="1360" w:type="dxa"/>
          </w:tcPr>
          <w:p w14:paraId="1BBB4094" w14:textId="42416565" w:rsidR="00AD79AC" w:rsidRDefault="00AD79AC" w:rsidP="00B44D9D">
            <w:pPr>
              <w:jc w:val="right"/>
            </w:pPr>
            <w:r>
              <w:t>2,424</w:t>
            </w:r>
          </w:p>
        </w:tc>
      </w:tr>
      <w:tr w:rsidR="00AD79AC" w14:paraId="3E89D712" w14:textId="77777777" w:rsidTr="002C119A">
        <w:tc>
          <w:tcPr>
            <w:tcW w:w="3652" w:type="dxa"/>
          </w:tcPr>
          <w:p w14:paraId="6AFF5B94" w14:textId="6E73651B" w:rsidR="00AD79AC" w:rsidRDefault="00AD79AC" w:rsidP="00FC5B1F">
            <w:r>
              <w:t>Resources and regeneration other</w:t>
            </w:r>
          </w:p>
        </w:tc>
        <w:tc>
          <w:tcPr>
            <w:tcW w:w="3969" w:type="dxa"/>
          </w:tcPr>
          <w:p w14:paraId="61692597" w14:textId="4BAB5E01" w:rsidR="00AD79AC" w:rsidRDefault="00AD79AC" w:rsidP="00FC5B1F">
            <w:r>
              <w:t>Resources and regeneration</w:t>
            </w:r>
          </w:p>
        </w:tc>
        <w:tc>
          <w:tcPr>
            <w:tcW w:w="1701" w:type="dxa"/>
          </w:tcPr>
          <w:p w14:paraId="19D3F031" w14:textId="58A1A5B4" w:rsidR="00AD79AC" w:rsidRDefault="00AD79AC" w:rsidP="00B44D9D">
            <w:pPr>
              <w:jc w:val="right"/>
            </w:pPr>
            <w:r>
              <w:t>2</w:t>
            </w:r>
          </w:p>
        </w:tc>
        <w:tc>
          <w:tcPr>
            <w:tcW w:w="1360" w:type="dxa"/>
          </w:tcPr>
          <w:p w14:paraId="72B25593" w14:textId="61DBA1FD" w:rsidR="00AD79AC" w:rsidRDefault="00AD79AC" w:rsidP="00B44D9D">
            <w:pPr>
              <w:jc w:val="right"/>
            </w:pPr>
            <w:r>
              <w:t>39,929</w:t>
            </w:r>
          </w:p>
        </w:tc>
      </w:tr>
      <w:tr w:rsidR="00FC5B1F" w14:paraId="65081566" w14:textId="77777777" w:rsidTr="002C119A">
        <w:tc>
          <w:tcPr>
            <w:tcW w:w="3652" w:type="dxa"/>
          </w:tcPr>
          <w:p w14:paraId="5AF2AC8D" w14:textId="5905ADC0" w:rsidR="00FC5B1F" w:rsidRDefault="00FC5B1F" w:rsidP="00FC5B1F">
            <w:r>
              <w:t>TOTAL</w:t>
            </w:r>
          </w:p>
        </w:tc>
        <w:tc>
          <w:tcPr>
            <w:tcW w:w="3969" w:type="dxa"/>
          </w:tcPr>
          <w:p w14:paraId="2AD27976" w14:textId="49E79643" w:rsidR="00FC5B1F" w:rsidRDefault="00FC5B1F" w:rsidP="00FC5B1F"/>
        </w:tc>
        <w:tc>
          <w:tcPr>
            <w:tcW w:w="1701" w:type="dxa"/>
          </w:tcPr>
          <w:p w14:paraId="678A6E58" w14:textId="09B7B8CC" w:rsidR="00FC5B1F" w:rsidRPr="004005D2" w:rsidRDefault="00AD79AC" w:rsidP="00AD79AC">
            <w:pPr>
              <w:jc w:val="right"/>
            </w:pPr>
            <w:r w:rsidRPr="004005D2">
              <w:t>106</w:t>
            </w:r>
          </w:p>
        </w:tc>
        <w:tc>
          <w:tcPr>
            <w:tcW w:w="1360" w:type="dxa"/>
          </w:tcPr>
          <w:p w14:paraId="44B814F0" w14:textId="2489817F" w:rsidR="00FC5B1F" w:rsidRDefault="00FC5B1F" w:rsidP="00B44D9D">
            <w:pPr>
              <w:jc w:val="right"/>
            </w:pPr>
            <w:r>
              <w:t>99,427</w:t>
            </w:r>
          </w:p>
        </w:tc>
      </w:tr>
    </w:tbl>
    <w:p w14:paraId="2D790269" w14:textId="77777777" w:rsidR="00000103" w:rsidRDefault="00000103" w:rsidP="00D745E7"/>
    <w:p w14:paraId="614BE861" w14:textId="33CE853E" w:rsidR="005B724A" w:rsidRDefault="007165C4" w:rsidP="00D745E7">
      <w:r>
        <w:t xml:space="preserve">The total </w:t>
      </w:r>
      <w:r w:rsidR="008C7EDD">
        <w:t xml:space="preserve">revenue </w:t>
      </w:r>
      <w:r>
        <w:t>running cost</w:t>
      </w:r>
      <w:r w:rsidR="008C7EDD">
        <w:t xml:space="preserve">s for </w:t>
      </w:r>
      <w:r>
        <w:t xml:space="preserve">the operational estate </w:t>
      </w:r>
      <w:r w:rsidR="00122F96">
        <w:t>in 2013/14 wa</w:t>
      </w:r>
      <w:r>
        <w:t>s:</w:t>
      </w: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682"/>
      </w:tblGrid>
      <w:tr w:rsidR="00CA58BB" w:rsidRPr="00CA58BB" w14:paraId="1C35F52A" w14:textId="77777777" w:rsidTr="00CA58BB">
        <w:trPr>
          <w:trHeight w:val="255"/>
        </w:trPr>
        <w:tc>
          <w:tcPr>
            <w:tcW w:w="5353" w:type="dxa"/>
            <w:shd w:val="clear" w:color="auto" w:fill="D9D9D9" w:themeFill="background1" w:themeFillShade="D9"/>
            <w:noWrap/>
          </w:tcPr>
          <w:p w14:paraId="61DE2F67" w14:textId="25085AC3" w:rsidR="00CA58BB" w:rsidRPr="00CA58BB" w:rsidRDefault="00CA58BB" w:rsidP="00F706F3">
            <w:pPr>
              <w:rPr>
                <w:b/>
              </w:rPr>
            </w:pPr>
            <w:r w:rsidRPr="00CA58BB">
              <w:rPr>
                <w:b/>
              </w:rPr>
              <w:t> Expenditure type</w:t>
            </w:r>
          </w:p>
        </w:tc>
        <w:tc>
          <w:tcPr>
            <w:tcW w:w="1682" w:type="dxa"/>
            <w:shd w:val="clear" w:color="auto" w:fill="D9D9D9" w:themeFill="background1" w:themeFillShade="D9"/>
            <w:noWrap/>
          </w:tcPr>
          <w:p w14:paraId="23CD7609" w14:textId="77777777" w:rsidR="00CA58BB" w:rsidRPr="00CA58BB" w:rsidRDefault="00CA58BB" w:rsidP="008C7EDD">
            <w:pPr>
              <w:jc w:val="center"/>
              <w:rPr>
                <w:b/>
                <w:bCs/>
              </w:rPr>
            </w:pPr>
            <w:r w:rsidRPr="00CA58BB">
              <w:rPr>
                <w:b/>
                <w:bCs/>
              </w:rPr>
              <w:t>2013 / 2014</w:t>
            </w:r>
          </w:p>
        </w:tc>
      </w:tr>
      <w:tr w:rsidR="00CA58BB" w:rsidRPr="00CA58BB" w14:paraId="3C7C9584" w14:textId="77777777" w:rsidTr="00CA58BB">
        <w:trPr>
          <w:trHeight w:val="255"/>
        </w:trPr>
        <w:tc>
          <w:tcPr>
            <w:tcW w:w="5353" w:type="dxa"/>
          </w:tcPr>
          <w:p w14:paraId="5D0B0115" w14:textId="411F03A9" w:rsidR="00CA58BB" w:rsidRPr="00CA58BB" w:rsidRDefault="00CA58BB" w:rsidP="00CA58BB">
            <w:r w:rsidRPr="00CA58BB">
              <w:t xml:space="preserve">Repairs </w:t>
            </w:r>
            <w:r>
              <w:t>and</w:t>
            </w:r>
            <w:r w:rsidRPr="00CA58BB">
              <w:t xml:space="preserve"> </w:t>
            </w:r>
            <w:r>
              <w:t>m</w:t>
            </w:r>
            <w:r w:rsidRPr="00CA58BB">
              <w:t xml:space="preserve">aintenance </w:t>
            </w:r>
            <w:r>
              <w:t>g</w:t>
            </w:r>
            <w:r w:rsidRPr="00CA58BB">
              <w:t xml:space="preserve">eneral </w:t>
            </w:r>
          </w:p>
        </w:tc>
        <w:tc>
          <w:tcPr>
            <w:tcW w:w="1682" w:type="dxa"/>
            <w:noWrap/>
          </w:tcPr>
          <w:p w14:paraId="0A355EA5" w14:textId="44C6D0BC" w:rsidR="00CA58BB" w:rsidRPr="00CA58BB" w:rsidRDefault="00CA58BB" w:rsidP="008C7EDD">
            <w:pPr>
              <w:jc w:val="right"/>
            </w:pPr>
            <w:r w:rsidRPr="00CA58BB">
              <w:t>68</w:t>
            </w:r>
            <w:r w:rsidR="008C7EDD">
              <w:t>1</w:t>
            </w:r>
            <w:r w:rsidRPr="00CA58BB">
              <w:t>,</w:t>
            </w:r>
            <w:r w:rsidR="008C7EDD">
              <w:t>000</w:t>
            </w:r>
          </w:p>
        </w:tc>
      </w:tr>
      <w:tr w:rsidR="00CA58BB" w:rsidRPr="00CA58BB" w14:paraId="39517A5E" w14:textId="77777777" w:rsidTr="00CA58BB">
        <w:trPr>
          <w:trHeight w:val="255"/>
        </w:trPr>
        <w:tc>
          <w:tcPr>
            <w:tcW w:w="5353" w:type="dxa"/>
          </w:tcPr>
          <w:p w14:paraId="1280BDED" w14:textId="543C0D04" w:rsidR="00CA58BB" w:rsidRPr="00CA58BB" w:rsidRDefault="00CA58BB" w:rsidP="00CA58BB">
            <w:r w:rsidRPr="00CA58BB">
              <w:t xml:space="preserve">Repairs </w:t>
            </w:r>
            <w:r>
              <w:t>and ma</w:t>
            </w:r>
            <w:r w:rsidRPr="00CA58BB">
              <w:t xml:space="preserve">intenance </w:t>
            </w:r>
            <w:r>
              <w:t>m</w:t>
            </w:r>
            <w:r w:rsidRPr="00CA58BB">
              <w:t xml:space="preserve">ajor </w:t>
            </w:r>
            <w:r>
              <w:t>w</w:t>
            </w:r>
            <w:r w:rsidRPr="00CA58BB">
              <w:t xml:space="preserve">orks </w:t>
            </w:r>
          </w:p>
        </w:tc>
        <w:tc>
          <w:tcPr>
            <w:tcW w:w="1682" w:type="dxa"/>
            <w:noWrap/>
          </w:tcPr>
          <w:p w14:paraId="7002DFD2" w14:textId="720559EC" w:rsidR="00CA58BB" w:rsidRPr="00CA58BB" w:rsidRDefault="00CA58BB" w:rsidP="008C7EDD">
            <w:pPr>
              <w:jc w:val="right"/>
            </w:pPr>
            <w:r w:rsidRPr="00CA58BB">
              <w:t>1,126,</w:t>
            </w:r>
            <w:r w:rsidR="008C7EDD">
              <w:t>000</w:t>
            </w:r>
          </w:p>
        </w:tc>
      </w:tr>
      <w:tr w:rsidR="00CA58BB" w:rsidRPr="00CA58BB" w14:paraId="1CA06206" w14:textId="77777777" w:rsidTr="00CA58BB">
        <w:trPr>
          <w:trHeight w:val="255"/>
        </w:trPr>
        <w:tc>
          <w:tcPr>
            <w:tcW w:w="5353" w:type="dxa"/>
            <w:noWrap/>
          </w:tcPr>
          <w:p w14:paraId="05D04464" w14:textId="77777777" w:rsidR="00CA58BB" w:rsidRPr="00CA58BB" w:rsidRDefault="00CA58BB" w:rsidP="00CA58BB">
            <w:r w:rsidRPr="00CA58BB">
              <w:t>Security</w:t>
            </w:r>
          </w:p>
        </w:tc>
        <w:tc>
          <w:tcPr>
            <w:tcW w:w="1682" w:type="dxa"/>
            <w:noWrap/>
          </w:tcPr>
          <w:p w14:paraId="21DC5472" w14:textId="1D900612" w:rsidR="00CA58BB" w:rsidRPr="00CA58BB" w:rsidRDefault="00CA58BB" w:rsidP="008C7EDD">
            <w:pPr>
              <w:jc w:val="right"/>
            </w:pPr>
            <w:r w:rsidRPr="00CA58BB">
              <w:t>60</w:t>
            </w:r>
            <w:r w:rsidR="008C7EDD">
              <w:t>6</w:t>
            </w:r>
            <w:r w:rsidRPr="00CA58BB">
              <w:t>,</w:t>
            </w:r>
            <w:r w:rsidR="008C7EDD">
              <w:t>000</w:t>
            </w:r>
          </w:p>
        </w:tc>
      </w:tr>
      <w:tr w:rsidR="00CA58BB" w:rsidRPr="00CA58BB" w14:paraId="535D353C" w14:textId="77777777" w:rsidTr="00CA58BB">
        <w:trPr>
          <w:trHeight w:val="255"/>
        </w:trPr>
        <w:tc>
          <w:tcPr>
            <w:tcW w:w="5353" w:type="dxa"/>
            <w:noWrap/>
          </w:tcPr>
          <w:p w14:paraId="4FDD3408" w14:textId="77777777" w:rsidR="00CA58BB" w:rsidRPr="00CA58BB" w:rsidRDefault="00CA58BB" w:rsidP="00CA58BB">
            <w:r w:rsidRPr="00CA58BB">
              <w:t>Utilities</w:t>
            </w:r>
          </w:p>
        </w:tc>
        <w:tc>
          <w:tcPr>
            <w:tcW w:w="1682" w:type="dxa"/>
            <w:noWrap/>
          </w:tcPr>
          <w:p w14:paraId="7421E50E" w14:textId="0A085D80" w:rsidR="00CA58BB" w:rsidRPr="00CA58BB" w:rsidRDefault="00CA58BB" w:rsidP="008C7EDD">
            <w:pPr>
              <w:jc w:val="right"/>
            </w:pPr>
            <w:r w:rsidRPr="00CA58BB">
              <w:t>1,393,</w:t>
            </w:r>
            <w:r w:rsidR="008C7EDD">
              <w:t>000</w:t>
            </w:r>
          </w:p>
        </w:tc>
      </w:tr>
      <w:tr w:rsidR="00CA58BB" w:rsidRPr="00CA58BB" w14:paraId="49D049D9" w14:textId="77777777" w:rsidTr="00CA58BB">
        <w:trPr>
          <w:trHeight w:val="255"/>
        </w:trPr>
        <w:tc>
          <w:tcPr>
            <w:tcW w:w="5353" w:type="dxa"/>
            <w:noWrap/>
          </w:tcPr>
          <w:p w14:paraId="39D00F0C" w14:textId="77777777" w:rsidR="00CA58BB" w:rsidRPr="00CA58BB" w:rsidRDefault="00CA58BB" w:rsidP="00CA58BB">
            <w:r w:rsidRPr="00CA58BB">
              <w:t xml:space="preserve">Rents </w:t>
            </w:r>
          </w:p>
        </w:tc>
        <w:tc>
          <w:tcPr>
            <w:tcW w:w="1682" w:type="dxa"/>
            <w:noWrap/>
          </w:tcPr>
          <w:p w14:paraId="7DDE0770" w14:textId="1CB4A1CE" w:rsidR="00CA58BB" w:rsidRPr="00CA58BB" w:rsidRDefault="00CA58BB" w:rsidP="008C7EDD">
            <w:pPr>
              <w:jc w:val="right"/>
            </w:pPr>
            <w:r w:rsidRPr="00CA58BB">
              <w:t>496,</w:t>
            </w:r>
            <w:r w:rsidR="008C7EDD">
              <w:t>000</w:t>
            </w:r>
          </w:p>
        </w:tc>
      </w:tr>
      <w:tr w:rsidR="00CA58BB" w:rsidRPr="00CA58BB" w14:paraId="12096DC7" w14:textId="77777777" w:rsidTr="00CA58BB">
        <w:trPr>
          <w:trHeight w:val="255"/>
        </w:trPr>
        <w:tc>
          <w:tcPr>
            <w:tcW w:w="5353" w:type="dxa"/>
            <w:noWrap/>
          </w:tcPr>
          <w:p w14:paraId="56ADF4E7" w14:textId="1A89C263" w:rsidR="00CA58BB" w:rsidRPr="00CA58BB" w:rsidRDefault="00CA58BB" w:rsidP="00CA58BB">
            <w:r w:rsidRPr="00CA58BB">
              <w:t xml:space="preserve">Service </w:t>
            </w:r>
            <w:r>
              <w:t>c</w:t>
            </w:r>
            <w:r w:rsidRPr="00CA58BB">
              <w:t xml:space="preserve">harges </w:t>
            </w:r>
          </w:p>
        </w:tc>
        <w:tc>
          <w:tcPr>
            <w:tcW w:w="1682" w:type="dxa"/>
            <w:noWrap/>
          </w:tcPr>
          <w:p w14:paraId="6A993169" w14:textId="6FB6E1AE" w:rsidR="00CA58BB" w:rsidRPr="00CA58BB" w:rsidRDefault="00CA58BB" w:rsidP="008C7EDD">
            <w:pPr>
              <w:jc w:val="right"/>
            </w:pPr>
            <w:r w:rsidRPr="00CA58BB">
              <w:t>185,</w:t>
            </w:r>
            <w:r w:rsidR="008C7EDD">
              <w:t>000</w:t>
            </w:r>
          </w:p>
        </w:tc>
      </w:tr>
      <w:tr w:rsidR="00CA58BB" w:rsidRPr="00CA58BB" w14:paraId="465227B8" w14:textId="77777777" w:rsidTr="00CA58BB">
        <w:trPr>
          <w:trHeight w:val="255"/>
        </w:trPr>
        <w:tc>
          <w:tcPr>
            <w:tcW w:w="5353" w:type="dxa"/>
            <w:noWrap/>
          </w:tcPr>
          <w:p w14:paraId="0EC51C99" w14:textId="77777777" w:rsidR="00CA58BB" w:rsidRPr="00CA58BB" w:rsidRDefault="00CA58BB" w:rsidP="00CA58BB">
            <w:r w:rsidRPr="00CA58BB">
              <w:t xml:space="preserve">Rates </w:t>
            </w:r>
          </w:p>
        </w:tc>
        <w:tc>
          <w:tcPr>
            <w:tcW w:w="1682" w:type="dxa"/>
            <w:noWrap/>
          </w:tcPr>
          <w:p w14:paraId="3AE6E0FD" w14:textId="16740F8F" w:rsidR="00CA58BB" w:rsidRPr="00CA58BB" w:rsidRDefault="00CA58BB" w:rsidP="008C7EDD">
            <w:pPr>
              <w:jc w:val="right"/>
            </w:pPr>
            <w:r w:rsidRPr="00CA58BB">
              <w:t>1,32</w:t>
            </w:r>
            <w:r w:rsidR="008C7EDD">
              <w:t>9</w:t>
            </w:r>
            <w:r w:rsidRPr="00CA58BB">
              <w:t>,</w:t>
            </w:r>
            <w:r w:rsidR="008C7EDD">
              <w:t>000</w:t>
            </w:r>
          </w:p>
        </w:tc>
      </w:tr>
      <w:tr w:rsidR="00CA58BB" w:rsidRPr="00CA58BB" w14:paraId="07C2891A" w14:textId="77777777" w:rsidTr="00CA58BB">
        <w:trPr>
          <w:trHeight w:val="255"/>
        </w:trPr>
        <w:tc>
          <w:tcPr>
            <w:tcW w:w="5353" w:type="dxa"/>
            <w:noWrap/>
          </w:tcPr>
          <w:p w14:paraId="58CAA791" w14:textId="52425E72" w:rsidR="00CA58BB" w:rsidRPr="00CA58BB" w:rsidRDefault="00CA58BB" w:rsidP="00CA58BB">
            <w:r w:rsidRPr="00CA58BB">
              <w:t xml:space="preserve">Premises </w:t>
            </w:r>
            <w:r>
              <w:t>i</w:t>
            </w:r>
            <w:r w:rsidRPr="00CA58BB">
              <w:t xml:space="preserve">nsurance </w:t>
            </w:r>
          </w:p>
        </w:tc>
        <w:tc>
          <w:tcPr>
            <w:tcW w:w="1682" w:type="dxa"/>
            <w:noWrap/>
          </w:tcPr>
          <w:p w14:paraId="718B4AD4" w14:textId="371AD04B" w:rsidR="00CA58BB" w:rsidRPr="00CA58BB" w:rsidRDefault="008C7EDD" w:rsidP="008C7EDD">
            <w:pPr>
              <w:jc w:val="right"/>
            </w:pPr>
            <w:r>
              <w:t>20</w:t>
            </w:r>
            <w:r w:rsidR="00CA58BB" w:rsidRPr="00CA58BB">
              <w:t>,</w:t>
            </w:r>
            <w:r>
              <w:t>000</w:t>
            </w:r>
          </w:p>
        </w:tc>
      </w:tr>
      <w:tr w:rsidR="00CA58BB" w:rsidRPr="00CA58BB" w14:paraId="4336B813" w14:textId="77777777" w:rsidTr="00CA58BB">
        <w:trPr>
          <w:trHeight w:val="255"/>
        </w:trPr>
        <w:tc>
          <w:tcPr>
            <w:tcW w:w="5353" w:type="dxa"/>
            <w:noWrap/>
          </w:tcPr>
          <w:p w14:paraId="4D125514" w14:textId="213F4A44" w:rsidR="00CA58BB" w:rsidRPr="00CA58BB" w:rsidRDefault="00CA58BB" w:rsidP="00CA58BB">
            <w:r w:rsidRPr="00CA58BB">
              <w:t xml:space="preserve">Refuse </w:t>
            </w:r>
            <w:r>
              <w:t>d</w:t>
            </w:r>
            <w:r w:rsidRPr="00CA58BB">
              <w:t xml:space="preserve">isposal </w:t>
            </w:r>
          </w:p>
        </w:tc>
        <w:tc>
          <w:tcPr>
            <w:tcW w:w="1682" w:type="dxa"/>
            <w:noWrap/>
          </w:tcPr>
          <w:p w14:paraId="5356C7AA" w14:textId="30164E77" w:rsidR="00CA58BB" w:rsidRPr="00CA58BB" w:rsidRDefault="00CA58BB" w:rsidP="008C7EDD">
            <w:pPr>
              <w:jc w:val="right"/>
            </w:pPr>
            <w:r w:rsidRPr="00CA58BB">
              <w:t>12</w:t>
            </w:r>
            <w:r w:rsidR="008C7EDD">
              <w:t>1</w:t>
            </w:r>
            <w:r w:rsidRPr="00CA58BB">
              <w:t>,</w:t>
            </w:r>
            <w:r w:rsidR="008C7EDD">
              <w:t>000</w:t>
            </w:r>
          </w:p>
        </w:tc>
      </w:tr>
      <w:tr w:rsidR="00CA58BB" w:rsidRPr="00CA58BB" w14:paraId="179B6188" w14:textId="77777777" w:rsidTr="00CA58BB">
        <w:trPr>
          <w:trHeight w:val="255"/>
        </w:trPr>
        <w:tc>
          <w:tcPr>
            <w:tcW w:w="5353" w:type="dxa"/>
            <w:noWrap/>
          </w:tcPr>
          <w:p w14:paraId="25407949" w14:textId="76C79221" w:rsidR="00CA58BB" w:rsidRPr="00CA58BB" w:rsidRDefault="00CA58BB" w:rsidP="00CA58BB">
            <w:r w:rsidRPr="00CA58BB">
              <w:t xml:space="preserve">Building </w:t>
            </w:r>
            <w:r>
              <w:t>c</w:t>
            </w:r>
            <w:r w:rsidRPr="00CA58BB">
              <w:t xml:space="preserve">leaning / </w:t>
            </w:r>
            <w:r>
              <w:t>p</w:t>
            </w:r>
            <w:r w:rsidRPr="00CA58BB">
              <w:t xml:space="preserve">est </w:t>
            </w:r>
            <w:r>
              <w:t>c</w:t>
            </w:r>
            <w:r w:rsidRPr="00CA58BB">
              <w:t>ontrol</w:t>
            </w:r>
          </w:p>
        </w:tc>
        <w:tc>
          <w:tcPr>
            <w:tcW w:w="1682" w:type="dxa"/>
            <w:noWrap/>
          </w:tcPr>
          <w:p w14:paraId="3579AAD4" w14:textId="4F74FCE0" w:rsidR="00CA58BB" w:rsidRPr="00CA58BB" w:rsidRDefault="00CA58BB" w:rsidP="008C7EDD">
            <w:pPr>
              <w:jc w:val="right"/>
            </w:pPr>
            <w:r w:rsidRPr="00CA58BB">
              <w:t>1,311,</w:t>
            </w:r>
            <w:r w:rsidR="008C7EDD">
              <w:t>000</w:t>
            </w:r>
          </w:p>
        </w:tc>
      </w:tr>
      <w:tr w:rsidR="00CA58BB" w:rsidRPr="00CA58BB" w14:paraId="661109B3" w14:textId="77777777" w:rsidTr="008C7EDD">
        <w:trPr>
          <w:trHeight w:val="360"/>
        </w:trPr>
        <w:tc>
          <w:tcPr>
            <w:tcW w:w="5353" w:type="dxa"/>
            <w:noWrap/>
            <w:vAlign w:val="center"/>
          </w:tcPr>
          <w:p w14:paraId="3EF96211" w14:textId="4A6967A4" w:rsidR="00CA58BB" w:rsidRPr="005551F6" w:rsidRDefault="00CA58BB" w:rsidP="005551F6">
            <w:pPr>
              <w:rPr>
                <w:b/>
              </w:rPr>
            </w:pPr>
            <w:r w:rsidRPr="005551F6">
              <w:rPr>
                <w:b/>
              </w:rPr>
              <w:t>TOTAL</w:t>
            </w:r>
          </w:p>
        </w:tc>
        <w:tc>
          <w:tcPr>
            <w:tcW w:w="1682" w:type="dxa"/>
            <w:noWrap/>
          </w:tcPr>
          <w:p w14:paraId="003400D8" w14:textId="68D65A6F" w:rsidR="00CA58BB" w:rsidRPr="00CA58BB" w:rsidRDefault="00CA58BB" w:rsidP="008C7EDD">
            <w:pPr>
              <w:jc w:val="right"/>
              <w:rPr>
                <w:b/>
                <w:bCs/>
              </w:rPr>
            </w:pPr>
            <w:r w:rsidRPr="00CA58BB">
              <w:rPr>
                <w:b/>
                <w:bCs/>
              </w:rPr>
              <w:t>7,267,</w:t>
            </w:r>
            <w:r w:rsidR="008C7EDD">
              <w:rPr>
                <w:b/>
                <w:bCs/>
              </w:rPr>
              <w:t>000</w:t>
            </w:r>
          </w:p>
        </w:tc>
      </w:tr>
    </w:tbl>
    <w:p w14:paraId="280F620D" w14:textId="7B976571" w:rsidR="00CA58BB" w:rsidRDefault="00CA58BB" w:rsidP="00D745E7"/>
    <w:p w14:paraId="36058C98" w14:textId="55A6CD9F" w:rsidR="0005048D" w:rsidRDefault="0005048D">
      <w:pPr>
        <w:spacing w:after="200" w:line="276" w:lineRule="auto"/>
      </w:pPr>
      <w:r>
        <w:br w:type="page"/>
      </w:r>
    </w:p>
    <w:p w14:paraId="7B2B3D9A" w14:textId="77777777" w:rsidR="00FC5B1F" w:rsidRPr="005B724A" w:rsidRDefault="00FC5B1F" w:rsidP="007165C4"/>
    <w:tbl>
      <w:tblPr>
        <w:tblStyle w:val="TableGrid"/>
        <w:tblW w:w="0" w:type="auto"/>
        <w:tblLook w:val="04A0" w:firstRow="1" w:lastRow="0" w:firstColumn="1" w:lastColumn="0" w:noHBand="0" w:noVBand="1"/>
      </w:tblPr>
      <w:tblGrid>
        <w:gridCol w:w="10682"/>
      </w:tblGrid>
      <w:tr w:rsidR="00A86C94" w14:paraId="6D9084F3" w14:textId="77777777" w:rsidTr="00A86C94">
        <w:tc>
          <w:tcPr>
            <w:tcW w:w="10682" w:type="dxa"/>
            <w:shd w:val="clear" w:color="auto" w:fill="A6A6A6" w:themeFill="background1" w:themeFillShade="A6"/>
          </w:tcPr>
          <w:p w14:paraId="5B715C8C" w14:textId="77777777" w:rsidR="00A86C94" w:rsidRPr="00183B93" w:rsidRDefault="00A86C94" w:rsidP="00A86C94">
            <w:pPr>
              <w:rPr>
                <w:bCs/>
                <w:highlight w:val="lightGray"/>
              </w:rPr>
            </w:pPr>
            <w:r w:rsidRPr="00963A6B">
              <w:rPr>
                <w:b/>
                <w:bCs/>
                <w:highlight w:val="lightGray"/>
              </w:rPr>
              <w:t>3.3.1</w:t>
            </w:r>
            <w:r>
              <w:rPr>
                <w:bCs/>
                <w:highlight w:val="lightGray"/>
              </w:rPr>
              <w:tab/>
            </w:r>
            <w:r w:rsidRPr="00183B93">
              <w:rPr>
                <w:bCs/>
                <w:highlight w:val="lightGray"/>
              </w:rPr>
              <w:t>ASSET OPTIMISATION</w:t>
            </w:r>
          </w:p>
          <w:p w14:paraId="26F85B00" w14:textId="77777777" w:rsidR="00A86C94" w:rsidRDefault="00A86C94" w:rsidP="00A86C94">
            <w:pPr>
              <w:rPr>
                <w:bCs/>
                <w:i/>
                <w:highlight w:val="lightGray"/>
              </w:rPr>
            </w:pPr>
          </w:p>
          <w:p w14:paraId="158A1691" w14:textId="2170705B" w:rsidR="00A86C94" w:rsidRPr="00A86C94" w:rsidRDefault="00A86C94" w:rsidP="00D745E7">
            <w:pPr>
              <w:rPr>
                <w:bCs/>
              </w:rPr>
            </w:pPr>
            <w:r w:rsidRPr="00183B93">
              <w:rPr>
                <w:bCs/>
                <w:i/>
                <w:highlight w:val="lightGray"/>
              </w:rPr>
              <w:t>Reshaping the corporate portfolio based on delivering the new net financial position and achieving service outcomes</w:t>
            </w:r>
          </w:p>
        </w:tc>
      </w:tr>
    </w:tbl>
    <w:p w14:paraId="2041A5B5" w14:textId="77777777" w:rsidR="0005048D" w:rsidRDefault="0005048D" w:rsidP="0005048D">
      <w:pPr>
        <w:rPr>
          <w:bCs/>
          <w:u w:val="single"/>
        </w:rPr>
      </w:pPr>
    </w:p>
    <w:p w14:paraId="7CE61CCF" w14:textId="117EE580" w:rsidR="0005048D" w:rsidRPr="00183B93" w:rsidRDefault="0005048D" w:rsidP="0005048D">
      <w:pPr>
        <w:rPr>
          <w:bCs/>
          <w:u w:val="single"/>
        </w:rPr>
      </w:pPr>
      <w:r>
        <w:rPr>
          <w:bCs/>
          <w:u w:val="single"/>
        </w:rPr>
        <w:t xml:space="preserve">(i) </w:t>
      </w:r>
      <w:r w:rsidRPr="00CB5BC4">
        <w:rPr>
          <w:u w:val="single"/>
        </w:rPr>
        <w:t>Re</w:t>
      </w:r>
      <w:r>
        <w:rPr>
          <w:u w:val="single"/>
        </w:rPr>
        <w:t>focus of the operational estate</w:t>
      </w:r>
    </w:p>
    <w:p w14:paraId="5B708232" w14:textId="77777777" w:rsidR="007F3B37" w:rsidRDefault="007F3B37" w:rsidP="00D745E7">
      <w:pPr>
        <w:rPr>
          <w:u w:val="single"/>
        </w:rPr>
      </w:pPr>
    </w:p>
    <w:p w14:paraId="0F240B44" w14:textId="77777777" w:rsidR="0005048D" w:rsidRDefault="0005048D" w:rsidP="0005048D">
      <w:r>
        <w:t>‘</w:t>
      </w:r>
      <w:r>
        <w:rPr>
          <w:i/>
          <w:iCs/>
        </w:rPr>
        <w:t>Asset optimisation</w:t>
      </w:r>
      <w:r>
        <w:t>’ will be a separately identified work strand of the Asset Management Board with a cross-Council working group established to undertake analysis and develop proposals.  The objectives of the asset optimisation are:</w:t>
      </w:r>
    </w:p>
    <w:p w14:paraId="74D0D936" w14:textId="77777777" w:rsidR="0005048D" w:rsidRDefault="0005048D" w:rsidP="00C1048E">
      <w:pPr>
        <w:numPr>
          <w:ilvl w:val="0"/>
          <w:numId w:val="53"/>
        </w:numPr>
        <w:spacing w:after="200" w:line="276" w:lineRule="auto"/>
      </w:pPr>
      <w:r>
        <w:t>To improve quality of the operational estate</w:t>
      </w:r>
    </w:p>
    <w:p w14:paraId="0B29DE96" w14:textId="77777777" w:rsidR="0005048D" w:rsidRDefault="0005048D" w:rsidP="00C1048E">
      <w:pPr>
        <w:numPr>
          <w:ilvl w:val="0"/>
          <w:numId w:val="53"/>
        </w:numPr>
        <w:spacing w:after="200" w:line="276" w:lineRule="auto"/>
      </w:pPr>
      <w:r>
        <w:t>To deliver a reduction in costs through a more efficient operational estate</w:t>
      </w:r>
    </w:p>
    <w:p w14:paraId="604CDE9B" w14:textId="77777777" w:rsidR="0005048D" w:rsidRDefault="0005048D" w:rsidP="00C1048E">
      <w:pPr>
        <w:numPr>
          <w:ilvl w:val="0"/>
          <w:numId w:val="53"/>
        </w:numPr>
        <w:spacing w:after="200" w:line="276" w:lineRule="auto"/>
      </w:pPr>
      <w:r>
        <w:t>To align the use of property resources with service delivery requirements</w:t>
      </w:r>
    </w:p>
    <w:p w14:paraId="0004D068" w14:textId="77777777" w:rsidR="0005048D" w:rsidRDefault="0005048D" w:rsidP="00C1048E">
      <w:pPr>
        <w:numPr>
          <w:ilvl w:val="0"/>
          <w:numId w:val="53"/>
        </w:numPr>
        <w:spacing w:after="200" w:line="276" w:lineRule="auto"/>
      </w:pPr>
      <w:r>
        <w:t>To establish transparent and consistent decision-making on assets that takes account of the full costs of service delivery</w:t>
      </w:r>
    </w:p>
    <w:p w14:paraId="67039C3C" w14:textId="77777777" w:rsidR="0005048D" w:rsidRDefault="0005048D" w:rsidP="0005048D">
      <w:r>
        <w:t>A provisional timetable for the asset optimisation programme is as follows:</w:t>
      </w:r>
    </w:p>
    <w:tbl>
      <w:tblPr>
        <w:tblW w:w="0" w:type="auto"/>
        <w:tblCellMar>
          <w:left w:w="0" w:type="dxa"/>
          <w:right w:w="0" w:type="dxa"/>
        </w:tblCellMar>
        <w:tblLook w:val="04A0" w:firstRow="1" w:lastRow="0" w:firstColumn="1" w:lastColumn="0" w:noHBand="0" w:noVBand="1"/>
      </w:tblPr>
      <w:tblGrid>
        <w:gridCol w:w="1526"/>
        <w:gridCol w:w="8647"/>
      </w:tblGrid>
      <w:tr w:rsidR="0005048D" w14:paraId="35CA572C" w14:textId="77777777" w:rsidTr="0005048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DA86E" w14:textId="77777777" w:rsidR="0005048D" w:rsidRDefault="0005048D">
            <w:pPr>
              <w:spacing w:after="200" w:line="276" w:lineRule="auto"/>
            </w:pPr>
            <w:r>
              <w:t>2015/16 Q2</w:t>
            </w:r>
          </w:p>
        </w:tc>
        <w:tc>
          <w:tcPr>
            <w:tcW w:w="8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33664" w14:textId="77777777" w:rsidR="0005048D" w:rsidRDefault="0005048D">
            <w:pPr>
              <w:spacing w:after="200" w:line="276" w:lineRule="auto"/>
            </w:pPr>
            <w:r>
              <w:t xml:space="preserve">Agree and publish the scope of Phase I proposals </w:t>
            </w:r>
          </w:p>
        </w:tc>
      </w:tr>
      <w:tr w:rsidR="0005048D" w14:paraId="54F6D9F8" w14:textId="77777777" w:rsidTr="0005048D">
        <w:trPr>
          <w:trHeight w:val="57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EF958" w14:textId="77777777" w:rsidR="0005048D" w:rsidRDefault="0005048D">
            <w:pPr>
              <w:spacing w:after="200" w:line="276" w:lineRule="auto"/>
            </w:pPr>
            <w:r>
              <w:t>2015/16 Q4</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58306DF3" w14:textId="3755F7B5" w:rsidR="0005048D" w:rsidRDefault="0005048D" w:rsidP="00BC3E86">
            <w:pPr>
              <w:spacing w:after="200" w:line="276" w:lineRule="auto"/>
            </w:pPr>
            <w:r>
              <w:t xml:space="preserve">Phase I completed to include the majority of total buildings and the majority of expenditure including the central civic complex, community buildings and </w:t>
            </w:r>
            <w:r w:rsidR="00BC3E86">
              <w:t>others as identified under the Council’s savings proposals</w:t>
            </w:r>
            <w:r>
              <w:t>.</w:t>
            </w:r>
          </w:p>
        </w:tc>
      </w:tr>
      <w:tr w:rsidR="0005048D" w14:paraId="78F3D4AB" w14:textId="77777777" w:rsidTr="0005048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4DF01" w14:textId="77777777" w:rsidR="0005048D" w:rsidRDefault="0005048D">
            <w:pPr>
              <w:spacing w:after="200" w:line="276" w:lineRule="auto"/>
            </w:pPr>
            <w:r>
              <w:t>2016/17 Q2</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44BBF005" w14:textId="77777777" w:rsidR="0005048D" w:rsidRDefault="0005048D">
            <w:pPr>
              <w:spacing w:after="200" w:line="276" w:lineRule="auto"/>
            </w:pPr>
            <w:r>
              <w:t>Phase II proposals covering all other service buildings</w:t>
            </w:r>
          </w:p>
        </w:tc>
      </w:tr>
      <w:tr w:rsidR="0005048D" w14:paraId="22C85990" w14:textId="77777777" w:rsidTr="0005048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290B1" w14:textId="77777777" w:rsidR="0005048D" w:rsidRDefault="0005048D">
            <w:pPr>
              <w:spacing w:after="200" w:line="276" w:lineRule="auto"/>
            </w:pPr>
            <w:r>
              <w:t>2016/17 Q4</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14:paraId="57E5B7C8" w14:textId="77777777" w:rsidR="0005048D" w:rsidRDefault="0005048D">
            <w:pPr>
              <w:spacing w:after="200" w:line="276" w:lineRule="auto"/>
            </w:pPr>
            <w:r>
              <w:t xml:space="preserve">Delivery of optimised operational estate </w:t>
            </w:r>
          </w:p>
        </w:tc>
      </w:tr>
    </w:tbl>
    <w:p w14:paraId="7B209DFC" w14:textId="77777777" w:rsidR="0005048D" w:rsidRDefault="0005048D" w:rsidP="0005048D"/>
    <w:p w14:paraId="2D59C0FD" w14:textId="77777777" w:rsidR="0005048D" w:rsidRDefault="0005048D" w:rsidP="0005048D">
      <w:r>
        <w:t>The asset optimisation programme will refocus priorities across the Council’s operational estate with the intention of reducing costs while aligning the use of the operational estate with future service needs.  Current arrangements across the operational estate have evolved over a long period of time.  While this has allowed for flexibility in responding to circumstances, as the level of available resource shrinks considerably pressures on the operational estate are increasing and there is a need for a new, evidenced-based and transparent approach to decision-making.</w:t>
      </w:r>
    </w:p>
    <w:p w14:paraId="674D67E0" w14:textId="77777777" w:rsidR="0005048D" w:rsidRDefault="0005048D" w:rsidP="0005048D"/>
    <w:p w14:paraId="79E3DF4B" w14:textId="7E47823B" w:rsidR="0005048D" w:rsidRDefault="0005048D" w:rsidP="0005048D">
      <w:r>
        <w:t xml:space="preserve">At the heart of this is establishing a stronger understanding of service requirements for building space, capturing the full cost of service delivery including the property related element and establishing a consistent and transparent basis for matching available resources to service need that promotes the long-term interests of the Council and the borough.  This work is aligned to the wider activity in the Council responding to the financial pressures on the public sector.  One of the challenges is to undertake this work alongside the different timetables that exist  for change across different parts of the Council.  For this reason the asset optimisation work will take a phased approach to delivery.  </w:t>
      </w:r>
    </w:p>
    <w:p w14:paraId="35FA42EC" w14:textId="77777777" w:rsidR="0005048D" w:rsidRDefault="0005048D" w:rsidP="0005048D"/>
    <w:p w14:paraId="5CE6292E" w14:textId="77777777" w:rsidR="0005048D" w:rsidRDefault="0005048D" w:rsidP="0005048D">
      <w:r>
        <w:t xml:space="preserve">In 2013/14 the revenue running costs of the 106 properties in the operational estate was £7.3m. Office accommodation accounts for more than half of that total, with a small number of central buildings (the Catford complex including Laurence House and the Civic Suite) the biggest budget requirement. Operational buildings with a mainly office accommodation function will therefore be reviewed as a priority. This is also required as staffing arrangements change based on the impact of restructuring across service divisions. </w:t>
      </w:r>
    </w:p>
    <w:p w14:paraId="04C6B490" w14:textId="77777777" w:rsidR="0005048D" w:rsidRDefault="0005048D" w:rsidP="0005048D"/>
    <w:p w14:paraId="5609AC89" w14:textId="77777777" w:rsidR="0005048D" w:rsidRDefault="0005048D" w:rsidP="0005048D">
      <w:r>
        <w:t xml:space="preserve">The 106 properties in the operational estate can be divided into direct services (including back office) and indirect, where the property is used by an organisation outside the Council’s structure. Approximately half the operational estate can be classified as direct and half as indirect. Community centres and children’s centres are a significant part </w:t>
      </w:r>
      <w:r>
        <w:lastRenderedPageBreak/>
        <w:t xml:space="preserve">of the indirect classification of operational assets, where significant change is expected as a result of financial pressures.   Section 3.2.3 (iii) summarises the current consultation exercise on VCS use of Council assets. The outcome of this consultation will be used to inform decision-making on the continued support for the sector through corporate assets.  The expectation is that future arrangements will require fewer buildings and that the creation of community hubs, co-location of organisations within buildings and more flexible use of space will offer opportunities to continue to support as many organisations as possible within a more limited overall budget. </w:t>
      </w:r>
    </w:p>
    <w:p w14:paraId="4C2CF4C3" w14:textId="77777777" w:rsidR="0005048D" w:rsidRDefault="0005048D" w:rsidP="0005048D"/>
    <w:p w14:paraId="73B6B361" w14:textId="2D70F790" w:rsidR="0005048D" w:rsidRDefault="0005048D" w:rsidP="0005048D">
      <w:r>
        <w:t>Phase I of the asset optimisation programme will therefore focus on office accommodation, the Catford complex, community buildings and</w:t>
      </w:r>
      <w:r w:rsidR="00BC3E86">
        <w:t xml:space="preserve"> other buildings as identified under the Council’s savings proposals. </w:t>
      </w:r>
    </w:p>
    <w:p w14:paraId="430C8893" w14:textId="77777777" w:rsidR="0005048D" w:rsidRDefault="0005048D" w:rsidP="0005048D"/>
    <w:p w14:paraId="52E03E73" w14:textId="77777777" w:rsidR="0005048D" w:rsidRDefault="0005048D" w:rsidP="0005048D">
      <w:r>
        <w:t>The cross Council working group will provide an evidence-based review of these properties and report recommendations to the Asset Management Board.  The review will include:</w:t>
      </w:r>
    </w:p>
    <w:p w14:paraId="7FC8B3D1" w14:textId="77777777" w:rsidR="0005048D" w:rsidRDefault="0005048D" w:rsidP="00C1048E">
      <w:pPr>
        <w:pStyle w:val="ListParagraph"/>
        <w:numPr>
          <w:ilvl w:val="0"/>
          <w:numId w:val="54"/>
        </w:numPr>
        <w:spacing w:after="200" w:line="276" w:lineRule="auto"/>
        <w:contextualSpacing/>
      </w:pPr>
      <w:r>
        <w:t>Identification of the properties in scope for phase I</w:t>
      </w:r>
    </w:p>
    <w:p w14:paraId="51A7444C" w14:textId="77777777" w:rsidR="0005048D" w:rsidRDefault="0005048D" w:rsidP="00C1048E">
      <w:pPr>
        <w:pStyle w:val="ListParagraph"/>
        <w:numPr>
          <w:ilvl w:val="0"/>
          <w:numId w:val="54"/>
        </w:numPr>
        <w:spacing w:after="200" w:line="276" w:lineRule="auto"/>
        <w:contextualSpacing/>
      </w:pPr>
      <w:r>
        <w:t>Analysis of running costs for properties in scope</w:t>
      </w:r>
    </w:p>
    <w:p w14:paraId="18F3FCB1" w14:textId="77777777" w:rsidR="0005048D" w:rsidRDefault="0005048D" w:rsidP="00C1048E">
      <w:pPr>
        <w:pStyle w:val="ListParagraph"/>
        <w:numPr>
          <w:ilvl w:val="0"/>
          <w:numId w:val="54"/>
        </w:numPr>
        <w:spacing w:after="200" w:line="276" w:lineRule="auto"/>
        <w:contextualSpacing/>
      </w:pPr>
      <w:r>
        <w:t xml:space="preserve">Analysis of estimated capital costs of maintaining properties in scope to acceptable standard (including in particular statutory compliance) </w:t>
      </w:r>
    </w:p>
    <w:p w14:paraId="6331C70C" w14:textId="06C5705D" w:rsidR="0005048D" w:rsidRDefault="0005048D" w:rsidP="00C1048E">
      <w:pPr>
        <w:pStyle w:val="ListParagraph"/>
        <w:numPr>
          <w:ilvl w:val="0"/>
          <w:numId w:val="54"/>
        </w:numPr>
        <w:spacing w:after="200" w:line="276" w:lineRule="auto"/>
        <w:contextualSpacing/>
      </w:pPr>
      <w:r>
        <w:t xml:space="preserve">Mapping geographical locations of sites and use of </w:t>
      </w:r>
      <w:r w:rsidR="00F37062">
        <w:t>‘</w:t>
      </w:r>
      <w:r>
        <w:t>Urban Files</w:t>
      </w:r>
      <w:r w:rsidR="00F37062">
        <w:t>’</w:t>
      </w:r>
      <w:r>
        <w:t xml:space="preserve"> to build an understanding of other relevant sites in each area (including schools)</w:t>
      </w:r>
    </w:p>
    <w:p w14:paraId="07AE12C5" w14:textId="77777777" w:rsidR="0005048D" w:rsidRDefault="0005048D" w:rsidP="00C1048E">
      <w:pPr>
        <w:pStyle w:val="ListParagraph"/>
        <w:numPr>
          <w:ilvl w:val="0"/>
          <w:numId w:val="54"/>
        </w:numPr>
        <w:spacing w:after="200" w:line="276" w:lineRule="auto"/>
        <w:contextualSpacing/>
      </w:pPr>
      <w:r>
        <w:t xml:space="preserve">Analysis of the connection to wider Council priorities including regeneration </w:t>
      </w:r>
    </w:p>
    <w:p w14:paraId="3C12C943" w14:textId="77777777" w:rsidR="0005048D" w:rsidRDefault="0005048D" w:rsidP="00C1048E">
      <w:pPr>
        <w:pStyle w:val="ListParagraph"/>
        <w:numPr>
          <w:ilvl w:val="0"/>
          <w:numId w:val="54"/>
        </w:numPr>
        <w:spacing w:after="200" w:line="276" w:lineRule="auto"/>
        <w:contextualSpacing/>
      </w:pPr>
      <w:r>
        <w:t>Analysis of potential alternative use of sites including flexible use/co-location, potential for commercial use and disposal value</w:t>
      </w:r>
    </w:p>
    <w:p w14:paraId="37BFE3EF" w14:textId="77777777" w:rsidR="0005048D" w:rsidRDefault="0005048D" w:rsidP="00C1048E">
      <w:pPr>
        <w:pStyle w:val="ListParagraph"/>
        <w:numPr>
          <w:ilvl w:val="0"/>
          <w:numId w:val="54"/>
        </w:numPr>
        <w:spacing w:after="200" w:line="276" w:lineRule="auto"/>
        <w:contextualSpacing/>
      </w:pPr>
      <w:r>
        <w:t>Identification of risks associated with site, including flooding risk</w:t>
      </w:r>
    </w:p>
    <w:p w14:paraId="5798246F" w14:textId="77777777" w:rsidR="0005048D" w:rsidRDefault="0005048D" w:rsidP="0005048D">
      <w:pPr>
        <w:pStyle w:val="ListParagraph"/>
        <w:ind w:left="360"/>
      </w:pPr>
    </w:p>
    <w:p w14:paraId="02BAA3A6" w14:textId="77777777" w:rsidR="0005048D" w:rsidRDefault="0005048D" w:rsidP="0005048D">
      <w:r>
        <w:t xml:space="preserve">Phase II will take a similar approach to all other assets across the Council’s corporate portfolio.  Work on phase II can start before phase I ends. </w:t>
      </w:r>
    </w:p>
    <w:p w14:paraId="4D24CB4E" w14:textId="77777777" w:rsidR="0005048D" w:rsidRDefault="0005048D" w:rsidP="0005048D"/>
    <w:p w14:paraId="17984B6E" w14:textId="77777777" w:rsidR="0005048D" w:rsidRDefault="0005048D" w:rsidP="0005048D">
      <w:r>
        <w:t>The asset optimisation programme will be expected to drive an improvement of the Council’s net overall financial position by reducing asset–related costs as well as increasing commercial opportunities for the corporate portfolio.  It will also reduce pressure on capital budgets and decision-making will need to take into account the potential future liability associated with individual sites.  An annual delivery plan for the operational estate will be created that draws on condition surveys and allocates resource across compliance, fabric / use of space and mechanical and electrical works. This should create opportunities for greater investment in operational buildings that will improve the quality of service that can be achieved, promote flexibility in the use of space and cut running costs through more efficient running of buildings.</w:t>
      </w:r>
    </w:p>
    <w:p w14:paraId="48926824" w14:textId="77777777" w:rsidR="0005048D" w:rsidRDefault="0005048D" w:rsidP="0005048D"/>
    <w:p w14:paraId="33B21B39" w14:textId="77777777" w:rsidR="0005048D" w:rsidRDefault="0005048D" w:rsidP="0005048D">
      <w:r>
        <w:t>The Council will also use strategic acquisition of properties as a means for creating new opportunities and reducing ongoing running costs.  Decisions on which properties to keep or where to acquire new sites will be based on an understanding of location, fabric and the potential flexibility of the space.</w:t>
      </w:r>
    </w:p>
    <w:p w14:paraId="52CB33FF" w14:textId="77777777" w:rsidR="0005048D" w:rsidRDefault="0005048D" w:rsidP="0005048D"/>
    <w:p w14:paraId="589692C1" w14:textId="77777777" w:rsidR="0005048D" w:rsidRDefault="0005048D" w:rsidP="0005048D">
      <w:r>
        <w:t>As well as making recommendations to the Asset Management Board across the operational estate the asset optimisation working group will also develop a communications strategy to ensure stakeholders are kept informed about the review of assets.  The communication strategy should be used to proactively engage with other corporate programmes and projects to ensure consistency in decision-making in relation to assets, particularly where these may not be part of the operational estate going forward.</w:t>
      </w:r>
    </w:p>
    <w:p w14:paraId="3A90685A" w14:textId="77777777" w:rsidR="0005048D" w:rsidRDefault="0005048D" w:rsidP="00D745E7"/>
    <w:p w14:paraId="1DAC6C9A" w14:textId="4FB36736" w:rsidR="00690673" w:rsidRPr="00690673" w:rsidRDefault="00690673" w:rsidP="00690673">
      <w:pPr>
        <w:rPr>
          <w:u w:val="single"/>
        </w:rPr>
      </w:pPr>
      <w:r w:rsidRPr="00690673">
        <w:t xml:space="preserve">(ii) </w:t>
      </w:r>
      <w:r w:rsidRPr="00690673">
        <w:rPr>
          <w:u w:val="single"/>
        </w:rPr>
        <w:t>New income opportunities</w:t>
      </w:r>
    </w:p>
    <w:p w14:paraId="7ACF1374" w14:textId="77777777" w:rsidR="00690673" w:rsidRPr="00690673" w:rsidRDefault="00690673" w:rsidP="00690673"/>
    <w:p w14:paraId="752A3C3A" w14:textId="7DAAA5CC" w:rsidR="00690673" w:rsidRPr="00690673" w:rsidRDefault="00690673" w:rsidP="00690673">
      <w:r w:rsidRPr="00690673">
        <w:t xml:space="preserve">Delivery of the Council’s asset rationalisation programme was based primarily on disposing of assets generating a one off capital receipt and reducing expected ongoing running costs for these sites. Going forward the Council needs to be able to take a longer-term view of the value of sites in determining their future role.  </w:t>
      </w:r>
      <w:r w:rsidR="00F90430">
        <w:t xml:space="preserve">The Council is now actively investigating </w:t>
      </w:r>
      <w:r w:rsidRPr="00690673">
        <w:t xml:space="preserve">ways that assets can be used to generate a sustainable long term revenue income.  </w:t>
      </w:r>
    </w:p>
    <w:p w14:paraId="70557D45" w14:textId="77777777" w:rsidR="00690673" w:rsidRPr="00690673" w:rsidRDefault="00690673" w:rsidP="00690673"/>
    <w:p w14:paraId="1AB3B82E" w14:textId="77777777" w:rsidR="00690673" w:rsidRPr="00690673" w:rsidRDefault="00690673" w:rsidP="00690673">
      <w:r w:rsidRPr="00690673">
        <w:lastRenderedPageBreak/>
        <w:t xml:space="preserve">Some of the main opportunities are in relation to supporting wider developments for example in relation to private rental properties with the Council retaining some or all ownership and therefore the opportunity to generate income.  The private rental sector has grown exponentially across London as property prices rise and with social housing highly limited and under significant pressure this tenure is often the only available housing and many landlords have taken advantage charging high rents for poor quality accommodation. </w:t>
      </w:r>
    </w:p>
    <w:p w14:paraId="7BAD76C7" w14:textId="77777777" w:rsidR="00690673" w:rsidRPr="00690673" w:rsidRDefault="00690673" w:rsidP="00690673"/>
    <w:p w14:paraId="48B2A7BA" w14:textId="77777777" w:rsidR="00690673" w:rsidRPr="00690673" w:rsidRDefault="00690673" w:rsidP="00690673">
      <w:r w:rsidRPr="00690673">
        <w:t>A property investment and development strand within the Council’s asset portfolio has the potential to achieve economic benefits but also social benefits allowing the Council to raise standards and quality in the private rental sector.  This could also be an opportunity to develop hotel provision, student accommodation and additional housing and school places.</w:t>
      </w:r>
    </w:p>
    <w:p w14:paraId="08D97918" w14:textId="77777777" w:rsidR="00690673" w:rsidRPr="00690673" w:rsidRDefault="00690673" w:rsidP="00690673"/>
    <w:p w14:paraId="1A073E20" w14:textId="77777777" w:rsidR="00690673" w:rsidRPr="00690673" w:rsidRDefault="00690673" w:rsidP="00690673">
      <w:r w:rsidRPr="00690673">
        <w:t>Work is ongoing to identify suitable sites for this and to research delivery vehicles for these programmes together with some soft market testing amongst potential delivery partners.</w:t>
      </w:r>
    </w:p>
    <w:p w14:paraId="22E71224" w14:textId="77777777" w:rsidR="00690673" w:rsidRPr="00690673" w:rsidRDefault="00690673" w:rsidP="00690673"/>
    <w:p w14:paraId="16A776E0" w14:textId="741E9F86" w:rsidR="00F90430" w:rsidRDefault="00690673" w:rsidP="00690673">
      <w:r w:rsidRPr="00690673">
        <w:t xml:space="preserve">This new investment has the potential to deliver significantly to the Council’s new net revenue position, as well as contributing to delivery of the Regeneration Strategy’s aspirations for regeneration and growth and the Housing Strategy’s ambitions for affordable and high quality housing. </w:t>
      </w:r>
      <w:r w:rsidR="00F90430">
        <w:t xml:space="preserve"> Understanding the value</w:t>
      </w:r>
      <w:r w:rsidR="00A17FE8">
        <w:t xml:space="preserve"> of</w:t>
      </w:r>
      <w:r w:rsidR="00F90430">
        <w:t xml:space="preserve"> our corporate assets and the potential as the borough changes for this value to </w:t>
      </w:r>
      <w:r w:rsidR="00A17FE8">
        <w:t>increase creates increased emphasis on the decision-making process to support sustainable and long-term value.  The Council needs to take a broader view of the benefit of using all its assets from the commercial portfolio to operational buidings and highways and the public realm.  Making the right decisions in the right places can help increase attractiveness to businesses and residents further extending the opportunity to drive income from the Council’s asset base.</w:t>
      </w:r>
    </w:p>
    <w:p w14:paraId="4DEC5BF6" w14:textId="77777777" w:rsidR="00F90430" w:rsidRDefault="00F90430" w:rsidP="00690673"/>
    <w:p w14:paraId="15AFB19E" w14:textId="31883B47" w:rsidR="00690673" w:rsidRPr="00690673" w:rsidRDefault="00690673" w:rsidP="00690673">
      <w:r w:rsidRPr="00690673">
        <w:t>The delivery of a positive net new financial position for the Council driven by our asset portfolio means that acquisitions have a role to play alongside disposals and that adding value to asset base can be one of the means to reducing the overall financial cost of assets.</w:t>
      </w:r>
    </w:p>
    <w:p w14:paraId="103DB944" w14:textId="77777777" w:rsidR="00690673" w:rsidRPr="00690673" w:rsidRDefault="00690673" w:rsidP="00690673"/>
    <w:p w14:paraId="2AF92864" w14:textId="5F3B45C3" w:rsidR="00690673" w:rsidRPr="00690673" w:rsidRDefault="00690673" w:rsidP="00690673">
      <w:r w:rsidRPr="00690673">
        <w:t>This new income project is designed to achieve savings required by the Council through the Lewisham Future Programme and is seeking to deliver increased income of £200k by 2017/18.  This milestone reflects the lengthy lead in time for construction projects of this nature.  Given continued growth predictions for London beyond this it is estimated that this could be a significant source of income beyond 2017/18, with potentially £5m+ a year income potential through new income by 2021 through development aligned to the borough’s regeneration.</w:t>
      </w:r>
      <w:r w:rsidR="00A17FE8">
        <w:t xml:space="preserve">  This income can be used to reduce overall costs as well as support the continue delivery of wider Council services.</w:t>
      </w:r>
    </w:p>
    <w:p w14:paraId="338F5121" w14:textId="77777777" w:rsidR="00690673" w:rsidRPr="00690673" w:rsidRDefault="00690673" w:rsidP="00690673">
      <w:pPr>
        <w:rPr>
          <w:b/>
        </w:rPr>
      </w:pPr>
    </w:p>
    <w:p w14:paraId="0B58059F" w14:textId="0BD7CACA" w:rsidR="00690673" w:rsidRDefault="00690673" w:rsidP="007165C4"/>
    <w:tbl>
      <w:tblPr>
        <w:tblStyle w:val="TableGrid"/>
        <w:tblW w:w="0" w:type="auto"/>
        <w:tblLook w:val="04A0" w:firstRow="1" w:lastRow="0" w:firstColumn="1" w:lastColumn="0" w:noHBand="0" w:noVBand="1"/>
      </w:tblPr>
      <w:tblGrid>
        <w:gridCol w:w="10682"/>
      </w:tblGrid>
      <w:tr w:rsidR="00A86C94" w14:paraId="022648AA" w14:textId="77777777" w:rsidTr="00A86C94">
        <w:tc>
          <w:tcPr>
            <w:tcW w:w="10682" w:type="dxa"/>
            <w:shd w:val="clear" w:color="auto" w:fill="A6A6A6" w:themeFill="background1" w:themeFillShade="A6"/>
          </w:tcPr>
          <w:p w14:paraId="3F42BBD3" w14:textId="77777777" w:rsidR="00A86C94" w:rsidRPr="00CB5BC4" w:rsidRDefault="00A86C94" w:rsidP="00A86C94">
            <w:r w:rsidRPr="005D685C">
              <w:rPr>
                <w:b/>
                <w:highlight w:val="lightGray"/>
              </w:rPr>
              <w:t>3.3.2</w:t>
            </w:r>
            <w:r>
              <w:rPr>
                <w:highlight w:val="lightGray"/>
              </w:rPr>
              <w:tab/>
            </w:r>
            <w:r w:rsidRPr="00183B93">
              <w:rPr>
                <w:highlight w:val="lightGray"/>
              </w:rPr>
              <w:t xml:space="preserve">FACILITY MANAGEMENT </w:t>
            </w:r>
          </w:p>
          <w:p w14:paraId="7E2C61F1" w14:textId="77777777" w:rsidR="00A86C94" w:rsidRDefault="00A86C94" w:rsidP="00A86C94">
            <w:pPr>
              <w:rPr>
                <w:rFonts w:asciiTheme="minorHAnsi" w:hAnsiTheme="minorHAnsi" w:cstheme="minorHAnsi"/>
                <w:i/>
                <w:highlight w:val="lightGray"/>
              </w:rPr>
            </w:pPr>
          </w:p>
          <w:p w14:paraId="482658B7" w14:textId="147A3D6A" w:rsidR="00A86C94" w:rsidRPr="00A86C94" w:rsidRDefault="00A86C94" w:rsidP="00951AA5">
            <w:pPr>
              <w:rPr>
                <w:rFonts w:asciiTheme="minorHAnsi" w:hAnsiTheme="minorHAnsi" w:cstheme="minorHAnsi"/>
              </w:rPr>
            </w:pPr>
            <w:r w:rsidRPr="00183B93">
              <w:rPr>
                <w:rFonts w:asciiTheme="minorHAnsi" w:hAnsiTheme="minorHAnsi" w:cstheme="minorHAnsi"/>
                <w:i/>
                <w:highlight w:val="lightGray"/>
              </w:rPr>
              <w:t>Effective and efficient management of the corporate estate</w:t>
            </w:r>
          </w:p>
        </w:tc>
      </w:tr>
    </w:tbl>
    <w:p w14:paraId="7A3EC91D" w14:textId="77777777" w:rsidR="00641E67" w:rsidRDefault="00641E67" w:rsidP="00951AA5">
      <w:pPr>
        <w:rPr>
          <w:b/>
          <w:highlight w:val="lightGray"/>
        </w:rPr>
      </w:pPr>
    </w:p>
    <w:p w14:paraId="590547D1" w14:textId="77777777" w:rsidR="00183B93" w:rsidRPr="005B724A" w:rsidRDefault="00183B93" w:rsidP="00183B93">
      <w:pPr>
        <w:autoSpaceDE w:val="0"/>
        <w:autoSpaceDN w:val="0"/>
        <w:adjustRightInd w:val="0"/>
        <w:jc w:val="both"/>
        <w:rPr>
          <w:rFonts w:asciiTheme="minorHAnsi" w:hAnsiTheme="minorHAnsi" w:cstheme="minorHAnsi"/>
          <w:lang w:eastAsia="en-GB"/>
        </w:rPr>
      </w:pPr>
      <w:r w:rsidRPr="005B724A">
        <w:rPr>
          <w:rFonts w:asciiTheme="minorHAnsi" w:hAnsiTheme="minorHAnsi" w:cstheme="minorHAnsi"/>
          <w:lang w:eastAsia="en-GB"/>
        </w:rPr>
        <w:t xml:space="preserve">Excellent Facility Management (FM) has a key role to play in delivering the Council’s high quality public services. In 2009 / 2010 the Council surveyed the condition of the 140 core operational premises, which indicated that the estate had been generally maintained to a basic standard, </w:t>
      </w:r>
      <w:r>
        <w:rPr>
          <w:rFonts w:asciiTheme="minorHAnsi" w:hAnsiTheme="minorHAnsi" w:cstheme="minorHAnsi"/>
          <w:lang w:eastAsia="en-GB"/>
        </w:rPr>
        <w:t xml:space="preserve">resulting in a maintenance backlog of £10.5m leaving </w:t>
      </w:r>
      <w:r w:rsidRPr="005B724A">
        <w:rPr>
          <w:rFonts w:asciiTheme="minorHAnsi" w:hAnsiTheme="minorHAnsi" w:cstheme="minorHAnsi"/>
          <w:lang w:eastAsia="en-GB"/>
        </w:rPr>
        <w:t xml:space="preserve">an unavoidable requirement to increase expenditure </w:t>
      </w:r>
      <w:r>
        <w:rPr>
          <w:rFonts w:asciiTheme="minorHAnsi" w:hAnsiTheme="minorHAnsi" w:cstheme="minorHAnsi"/>
          <w:lang w:eastAsia="en-GB"/>
        </w:rPr>
        <w:t xml:space="preserve">which </w:t>
      </w:r>
      <w:r w:rsidRPr="005B724A">
        <w:rPr>
          <w:rFonts w:asciiTheme="minorHAnsi" w:hAnsiTheme="minorHAnsi" w:cstheme="minorHAnsi"/>
          <w:lang w:eastAsia="en-GB"/>
        </w:rPr>
        <w:t>substantially exceed</w:t>
      </w:r>
      <w:r>
        <w:rPr>
          <w:rFonts w:asciiTheme="minorHAnsi" w:hAnsiTheme="minorHAnsi" w:cstheme="minorHAnsi"/>
          <w:lang w:eastAsia="en-GB"/>
        </w:rPr>
        <w:t>s</w:t>
      </w:r>
      <w:r w:rsidRPr="005B724A">
        <w:rPr>
          <w:rFonts w:asciiTheme="minorHAnsi" w:hAnsiTheme="minorHAnsi" w:cstheme="minorHAnsi"/>
          <w:lang w:eastAsia="en-GB"/>
        </w:rPr>
        <w:t xml:space="preserve"> current levels of expenditure and available budgets.</w:t>
      </w:r>
    </w:p>
    <w:p w14:paraId="6FA02487" w14:textId="77777777" w:rsidR="00396D9D" w:rsidRDefault="00396D9D" w:rsidP="00396D9D">
      <w:pPr>
        <w:pStyle w:val="Header"/>
        <w:tabs>
          <w:tab w:val="clear" w:pos="4153"/>
          <w:tab w:val="clear" w:pos="8306"/>
          <w:tab w:val="left" w:pos="1890"/>
        </w:tabs>
        <w:jc w:val="both"/>
        <w:rPr>
          <w:rFonts w:asciiTheme="minorHAnsi" w:hAnsiTheme="minorHAnsi" w:cstheme="minorHAnsi"/>
          <w:u w:val="single"/>
        </w:rPr>
      </w:pPr>
    </w:p>
    <w:p w14:paraId="47D23363" w14:textId="70E9EC86" w:rsidR="00396D9D" w:rsidRPr="005B724A" w:rsidRDefault="00E70D77" w:rsidP="00396D9D">
      <w:pPr>
        <w:pStyle w:val="Header"/>
        <w:tabs>
          <w:tab w:val="clear" w:pos="4153"/>
          <w:tab w:val="clear" w:pos="8306"/>
          <w:tab w:val="left" w:pos="1890"/>
        </w:tabs>
        <w:jc w:val="both"/>
        <w:rPr>
          <w:rFonts w:asciiTheme="minorHAnsi" w:hAnsiTheme="minorHAnsi" w:cstheme="minorHAnsi"/>
          <w:sz w:val="22"/>
          <w:szCs w:val="22"/>
        </w:rPr>
      </w:pPr>
      <w:r>
        <w:rPr>
          <w:rFonts w:asciiTheme="minorHAnsi" w:hAnsiTheme="minorHAnsi" w:cstheme="minorHAnsi"/>
          <w:sz w:val="22"/>
          <w:szCs w:val="22"/>
        </w:rPr>
        <w:t>T</w:t>
      </w:r>
      <w:r w:rsidR="00396D9D" w:rsidRPr="005B724A">
        <w:rPr>
          <w:rFonts w:asciiTheme="minorHAnsi" w:hAnsiTheme="minorHAnsi" w:cstheme="minorHAnsi"/>
          <w:sz w:val="22"/>
          <w:szCs w:val="22"/>
          <w:lang w:eastAsia="en-GB"/>
        </w:rPr>
        <w:t>o ensure that asset values are not impaired through poor repair and most pressingly, that the premises are safe and compliant with legislation, a new way of working is required that puts the assets at the centre of the business, which includes a fully costed, prioritised , modest, yet affordable investment programme.</w:t>
      </w:r>
    </w:p>
    <w:p w14:paraId="660A4B42" w14:textId="77777777" w:rsidR="00396D9D" w:rsidRPr="005B724A" w:rsidRDefault="00396D9D" w:rsidP="00396D9D">
      <w:pPr>
        <w:autoSpaceDE w:val="0"/>
        <w:autoSpaceDN w:val="0"/>
        <w:adjustRightInd w:val="0"/>
        <w:jc w:val="both"/>
        <w:rPr>
          <w:rFonts w:asciiTheme="minorHAnsi" w:hAnsiTheme="minorHAnsi" w:cstheme="minorHAnsi"/>
          <w:color w:val="FF0000"/>
          <w:lang w:eastAsia="en-GB"/>
        </w:rPr>
      </w:pPr>
    </w:p>
    <w:p w14:paraId="33F60B34" w14:textId="77777777" w:rsidR="00396D9D" w:rsidRDefault="00396D9D" w:rsidP="00396D9D">
      <w:p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T</w:t>
      </w:r>
      <w:r w:rsidRPr="005B724A">
        <w:rPr>
          <w:rFonts w:asciiTheme="minorHAnsi" w:hAnsiTheme="minorHAnsi" w:cstheme="minorHAnsi"/>
          <w:lang w:eastAsia="en-GB"/>
        </w:rPr>
        <w:t xml:space="preserve">he challenge for FM Services </w:t>
      </w:r>
      <w:r>
        <w:rPr>
          <w:rFonts w:asciiTheme="minorHAnsi" w:hAnsiTheme="minorHAnsi" w:cstheme="minorHAnsi"/>
          <w:lang w:eastAsia="en-GB"/>
        </w:rPr>
        <w:t xml:space="preserve">therefore is </w:t>
      </w:r>
      <w:r w:rsidRPr="005B724A">
        <w:rPr>
          <w:rFonts w:asciiTheme="minorHAnsi" w:hAnsiTheme="minorHAnsi" w:cstheme="minorHAnsi"/>
          <w:lang w:eastAsia="en-GB"/>
        </w:rPr>
        <w:t xml:space="preserve">to supply a fit for purpose delivery vehicle that </w:t>
      </w:r>
      <w:r>
        <w:rPr>
          <w:rFonts w:asciiTheme="minorHAnsi" w:hAnsiTheme="minorHAnsi" w:cstheme="minorHAnsi"/>
          <w:lang w:eastAsia="en-GB"/>
        </w:rPr>
        <w:t xml:space="preserve">plays its full role in delivering </w:t>
      </w:r>
      <w:r w:rsidRPr="005B724A">
        <w:rPr>
          <w:rFonts w:asciiTheme="minorHAnsi" w:hAnsiTheme="minorHAnsi" w:cstheme="minorHAnsi"/>
          <w:lang w:eastAsia="en-GB"/>
        </w:rPr>
        <w:t xml:space="preserve">accessible and sustainable buildings that represent good value for money. To achieve these aims there is a need to </w:t>
      </w:r>
    </w:p>
    <w:p w14:paraId="011896C5" w14:textId="77777777" w:rsidR="00396D9D" w:rsidRDefault="00396D9D" w:rsidP="00C1048E">
      <w:pPr>
        <w:pStyle w:val="ListParagraph"/>
        <w:numPr>
          <w:ilvl w:val="0"/>
          <w:numId w:val="13"/>
        </w:num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R</w:t>
      </w:r>
      <w:r w:rsidRPr="005E4888">
        <w:rPr>
          <w:rFonts w:asciiTheme="minorHAnsi" w:hAnsiTheme="minorHAnsi" w:cstheme="minorHAnsi"/>
          <w:lang w:eastAsia="en-GB"/>
        </w:rPr>
        <w:t xml:space="preserve">ationalise </w:t>
      </w:r>
      <w:r>
        <w:rPr>
          <w:rFonts w:asciiTheme="minorHAnsi" w:hAnsiTheme="minorHAnsi" w:cstheme="minorHAnsi"/>
          <w:lang w:eastAsia="en-GB"/>
        </w:rPr>
        <w:t xml:space="preserve">the </w:t>
      </w:r>
      <w:r w:rsidRPr="005E4888">
        <w:rPr>
          <w:rFonts w:asciiTheme="minorHAnsi" w:hAnsiTheme="minorHAnsi" w:cstheme="minorHAnsi"/>
          <w:lang w:eastAsia="en-GB"/>
        </w:rPr>
        <w:t xml:space="preserve"> number of buildings in use</w:t>
      </w:r>
    </w:p>
    <w:p w14:paraId="275CC4FB" w14:textId="77777777" w:rsidR="00396D9D" w:rsidRDefault="00396D9D" w:rsidP="00C1048E">
      <w:pPr>
        <w:pStyle w:val="ListParagraph"/>
        <w:numPr>
          <w:ilvl w:val="0"/>
          <w:numId w:val="13"/>
        </w:num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Ensure FM services are only provided to operational sites</w:t>
      </w:r>
    </w:p>
    <w:p w14:paraId="2CFD9A9E" w14:textId="77777777" w:rsidR="00396D9D" w:rsidRDefault="00396D9D" w:rsidP="00C1048E">
      <w:pPr>
        <w:pStyle w:val="ListParagraph"/>
        <w:numPr>
          <w:ilvl w:val="0"/>
          <w:numId w:val="13"/>
        </w:num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lastRenderedPageBreak/>
        <w:t>Use investment to reduce running costs</w:t>
      </w:r>
    </w:p>
    <w:p w14:paraId="5339E8AD" w14:textId="62C75AF1" w:rsidR="00396D9D" w:rsidRPr="001A2F14" w:rsidRDefault="00396D9D" w:rsidP="00C1048E">
      <w:pPr>
        <w:pStyle w:val="ListParagraph"/>
        <w:numPr>
          <w:ilvl w:val="0"/>
          <w:numId w:val="13"/>
        </w:numPr>
        <w:autoSpaceDE w:val="0"/>
        <w:autoSpaceDN w:val="0"/>
        <w:adjustRightInd w:val="0"/>
        <w:jc w:val="both"/>
        <w:rPr>
          <w:rFonts w:asciiTheme="minorHAnsi" w:hAnsiTheme="minorHAnsi" w:cstheme="minorHAnsi"/>
          <w:lang w:eastAsia="en-GB"/>
        </w:rPr>
      </w:pPr>
      <w:r>
        <w:rPr>
          <w:rFonts w:asciiTheme="minorHAnsi" w:hAnsiTheme="minorHAnsi" w:cstheme="minorHAnsi"/>
          <w:lang w:eastAsia="en-GB"/>
        </w:rPr>
        <w:t xml:space="preserve">Drive efficiencies through </w:t>
      </w:r>
      <w:r w:rsidRPr="005E4888">
        <w:rPr>
          <w:rFonts w:asciiTheme="minorHAnsi" w:hAnsiTheme="minorHAnsi" w:cstheme="minorHAnsi"/>
          <w:lang w:eastAsia="en-GB"/>
        </w:rPr>
        <w:t xml:space="preserve">the </w:t>
      </w:r>
      <w:r w:rsidRPr="005E4888">
        <w:rPr>
          <w:rFonts w:asciiTheme="minorHAnsi" w:hAnsiTheme="minorHAnsi" w:cstheme="minorHAnsi"/>
        </w:rPr>
        <w:t>procurement, delivery, clienting and management of FM works and services</w:t>
      </w:r>
      <w:r w:rsidRPr="005E4888">
        <w:rPr>
          <w:rFonts w:asciiTheme="minorHAnsi" w:hAnsiTheme="minorHAnsi" w:cstheme="minorHAnsi"/>
          <w:lang w:eastAsia="en-GB"/>
        </w:rPr>
        <w:t>.</w:t>
      </w:r>
    </w:p>
    <w:p w14:paraId="3C2E602C" w14:textId="77777777" w:rsidR="00183B93" w:rsidRDefault="00183B93" w:rsidP="00951AA5">
      <w:pPr>
        <w:rPr>
          <w:rFonts w:asciiTheme="minorHAnsi" w:hAnsiTheme="minorHAnsi" w:cstheme="minorHAnsi"/>
          <w:u w:val="single"/>
        </w:rPr>
      </w:pPr>
    </w:p>
    <w:p w14:paraId="4A4DCF01" w14:textId="26FF537A" w:rsidR="00BA7AF2" w:rsidRPr="00CB5BC4" w:rsidRDefault="00E87616" w:rsidP="00951AA5">
      <w:pPr>
        <w:rPr>
          <w:rFonts w:asciiTheme="minorHAnsi" w:hAnsiTheme="minorHAnsi" w:cstheme="minorHAnsi"/>
          <w:u w:val="single"/>
        </w:rPr>
      </w:pPr>
      <w:r>
        <w:rPr>
          <w:rFonts w:asciiTheme="minorHAnsi" w:hAnsiTheme="minorHAnsi" w:cstheme="minorHAnsi"/>
          <w:u w:val="single"/>
        </w:rPr>
        <w:t xml:space="preserve">(i) </w:t>
      </w:r>
      <w:r w:rsidR="00BA7AF2" w:rsidRPr="00CB5BC4">
        <w:rPr>
          <w:rFonts w:asciiTheme="minorHAnsi" w:hAnsiTheme="minorHAnsi" w:cstheme="minorHAnsi"/>
          <w:u w:val="single"/>
        </w:rPr>
        <w:t>Re-alignment of ‘hard’ and ‘</w:t>
      </w:r>
      <w:r w:rsidR="000F64C3" w:rsidRPr="00CB5BC4">
        <w:rPr>
          <w:rFonts w:asciiTheme="minorHAnsi" w:hAnsiTheme="minorHAnsi" w:cstheme="minorHAnsi"/>
          <w:u w:val="single"/>
        </w:rPr>
        <w:t>soft’ services from 2016</w:t>
      </w:r>
    </w:p>
    <w:p w14:paraId="1E67719A" w14:textId="77777777" w:rsidR="00396D9D" w:rsidRDefault="00396D9D" w:rsidP="00396D9D">
      <w:pPr>
        <w:pStyle w:val="ListParagraph"/>
        <w:ind w:left="0"/>
        <w:jc w:val="both"/>
        <w:rPr>
          <w:rFonts w:asciiTheme="minorHAnsi" w:hAnsiTheme="minorHAnsi" w:cstheme="minorHAnsi"/>
        </w:rPr>
      </w:pPr>
    </w:p>
    <w:p w14:paraId="40452A2D" w14:textId="47853A1D" w:rsidR="00396D9D" w:rsidRPr="005B724A" w:rsidRDefault="00396D9D" w:rsidP="00396D9D">
      <w:pPr>
        <w:pStyle w:val="ListParagraph"/>
        <w:ind w:left="0"/>
        <w:jc w:val="both"/>
        <w:rPr>
          <w:rFonts w:asciiTheme="minorHAnsi" w:hAnsiTheme="minorHAnsi" w:cstheme="minorHAnsi"/>
          <w:lang w:eastAsia="en-GB"/>
        </w:rPr>
      </w:pPr>
      <w:r>
        <w:rPr>
          <w:rFonts w:asciiTheme="minorHAnsi" w:hAnsiTheme="minorHAnsi" w:cstheme="minorHAnsi"/>
        </w:rPr>
        <w:t>All FM services are sch</w:t>
      </w:r>
      <w:r w:rsidR="00970CB0">
        <w:rPr>
          <w:rFonts w:asciiTheme="minorHAnsi" w:hAnsiTheme="minorHAnsi" w:cstheme="minorHAnsi"/>
        </w:rPr>
        <w:t>eduled to be market tested by 2</w:t>
      </w:r>
      <w:r>
        <w:rPr>
          <w:rFonts w:asciiTheme="minorHAnsi" w:hAnsiTheme="minorHAnsi" w:cstheme="minorHAnsi"/>
        </w:rPr>
        <w:t>0</w:t>
      </w:r>
      <w:r w:rsidR="00970CB0">
        <w:rPr>
          <w:rFonts w:asciiTheme="minorHAnsi" w:hAnsiTheme="minorHAnsi" w:cstheme="minorHAnsi"/>
        </w:rPr>
        <w:t>1</w:t>
      </w:r>
      <w:r>
        <w:rPr>
          <w:rFonts w:asciiTheme="minorHAnsi" w:hAnsiTheme="minorHAnsi" w:cstheme="minorHAnsi"/>
        </w:rPr>
        <w:t>6</w:t>
      </w:r>
      <w:r w:rsidRPr="005B724A">
        <w:rPr>
          <w:rFonts w:asciiTheme="minorHAnsi" w:hAnsiTheme="minorHAnsi" w:cstheme="minorHAnsi"/>
        </w:rPr>
        <w:t>. This will provide a platform to integrate all FM functions (beyond CAS) into single client team</w:t>
      </w:r>
      <w:r>
        <w:rPr>
          <w:rFonts w:asciiTheme="minorHAnsi" w:hAnsiTheme="minorHAnsi" w:cstheme="minorHAnsi"/>
        </w:rPr>
        <w:t>,</w:t>
      </w:r>
      <w:r w:rsidRPr="005B724A">
        <w:rPr>
          <w:rFonts w:asciiTheme="minorHAnsi" w:hAnsiTheme="minorHAnsi" w:cstheme="minorHAnsi"/>
        </w:rPr>
        <w:t xml:space="preserve"> delivering economies of scale through the procurement of more/all Directorates FM services via a single provider</w:t>
      </w:r>
      <w:r>
        <w:rPr>
          <w:rFonts w:asciiTheme="minorHAnsi" w:hAnsiTheme="minorHAnsi" w:cstheme="minorHAnsi"/>
        </w:rPr>
        <w:t xml:space="preserve">.  </w:t>
      </w:r>
      <w:r w:rsidRPr="005B724A">
        <w:rPr>
          <w:rFonts w:asciiTheme="minorHAnsi" w:hAnsiTheme="minorHAnsi" w:cstheme="minorHAnsi"/>
          <w:lang w:eastAsia="en-GB"/>
        </w:rPr>
        <w:t>The outcome of this programme will be to service a significantly smaller estate supporting the Council’s needs, a reduction in the running costs of the core estate and a modest affordable investment programme.</w:t>
      </w:r>
    </w:p>
    <w:p w14:paraId="386FE13B" w14:textId="77777777" w:rsidR="00396D9D" w:rsidRPr="005B724A" w:rsidRDefault="00396D9D" w:rsidP="00396D9D">
      <w:pPr>
        <w:autoSpaceDE w:val="0"/>
        <w:autoSpaceDN w:val="0"/>
        <w:adjustRightInd w:val="0"/>
        <w:jc w:val="both"/>
        <w:rPr>
          <w:rFonts w:asciiTheme="minorHAnsi" w:hAnsiTheme="minorHAnsi" w:cstheme="minorHAnsi"/>
        </w:rPr>
      </w:pPr>
    </w:p>
    <w:p w14:paraId="412093B5" w14:textId="7709828F" w:rsidR="00396D9D" w:rsidRDefault="00E87616" w:rsidP="00951AA5">
      <w:pPr>
        <w:rPr>
          <w:rFonts w:asciiTheme="minorHAnsi" w:hAnsiTheme="minorHAnsi" w:cstheme="minorHAnsi"/>
          <w:u w:val="single"/>
        </w:rPr>
      </w:pPr>
      <w:r>
        <w:rPr>
          <w:rFonts w:asciiTheme="minorHAnsi" w:hAnsiTheme="minorHAnsi" w:cstheme="minorHAnsi"/>
          <w:u w:val="single"/>
        </w:rPr>
        <w:t xml:space="preserve">(ii) </w:t>
      </w:r>
      <w:r w:rsidR="00396D9D" w:rsidRPr="00396D9D">
        <w:rPr>
          <w:rFonts w:asciiTheme="minorHAnsi" w:hAnsiTheme="minorHAnsi" w:cstheme="minorHAnsi"/>
          <w:u w:val="single"/>
        </w:rPr>
        <w:t xml:space="preserve">Integration of functions </w:t>
      </w:r>
    </w:p>
    <w:p w14:paraId="5A2893F9" w14:textId="6C160419" w:rsidR="000F64C3" w:rsidRPr="00396D9D" w:rsidRDefault="00F15400" w:rsidP="00951AA5">
      <w:pPr>
        <w:rPr>
          <w:rFonts w:asciiTheme="minorHAnsi" w:hAnsiTheme="minorHAnsi" w:cstheme="minorHAnsi"/>
        </w:rPr>
      </w:pPr>
      <w:r w:rsidRPr="005D685C">
        <w:rPr>
          <w:rFonts w:asciiTheme="minorHAnsi" w:hAnsiTheme="minorHAnsi" w:cstheme="minorHAnsi"/>
        </w:rPr>
        <w:t>The re-alignment of FM contracts is also an opportunity to i</w:t>
      </w:r>
      <w:r w:rsidR="000F64C3" w:rsidRPr="005D685C">
        <w:rPr>
          <w:rFonts w:asciiTheme="minorHAnsi" w:hAnsiTheme="minorHAnsi" w:cstheme="minorHAnsi"/>
        </w:rPr>
        <w:t>ntegrat</w:t>
      </w:r>
      <w:r w:rsidRPr="005D685C">
        <w:rPr>
          <w:rFonts w:asciiTheme="minorHAnsi" w:hAnsiTheme="minorHAnsi" w:cstheme="minorHAnsi"/>
        </w:rPr>
        <w:t>e</w:t>
      </w:r>
      <w:r w:rsidR="000F64C3" w:rsidRPr="005D685C">
        <w:rPr>
          <w:rFonts w:asciiTheme="minorHAnsi" w:hAnsiTheme="minorHAnsi" w:cstheme="minorHAnsi"/>
        </w:rPr>
        <w:t xml:space="preserve"> similar outsourced client and contractor works across Council directorates</w:t>
      </w:r>
      <w:r w:rsidRPr="005D685C">
        <w:rPr>
          <w:rFonts w:asciiTheme="minorHAnsi" w:hAnsiTheme="minorHAnsi" w:cstheme="minorHAnsi"/>
        </w:rPr>
        <w:t xml:space="preserve"> and implement a s</w:t>
      </w:r>
      <w:r w:rsidR="000F64C3" w:rsidRPr="005D685C">
        <w:rPr>
          <w:rFonts w:asciiTheme="minorHAnsi" w:hAnsiTheme="minorHAnsi" w:cstheme="minorHAnsi"/>
        </w:rPr>
        <w:t>ingle client team for operational, leisu</w:t>
      </w:r>
      <w:r w:rsidRPr="005D685C">
        <w:rPr>
          <w:rFonts w:asciiTheme="minorHAnsi" w:hAnsiTheme="minorHAnsi" w:cstheme="minorHAnsi"/>
        </w:rPr>
        <w:t xml:space="preserve">re and schools contractor works. </w:t>
      </w:r>
      <w:r w:rsidR="005D685C" w:rsidRPr="005D685C">
        <w:rPr>
          <w:rFonts w:asciiTheme="minorHAnsi" w:hAnsiTheme="minorHAnsi" w:cstheme="minorHAnsi"/>
        </w:rPr>
        <w:t xml:space="preserve">  The intelligent client model adopted in the reorganisation of Regeneration and Asset Management (3.2.1) will be an opportunity to avoid duplication in the roles, responsibilities and resources for all outsourced works and services across the Council to create a centralised specialised clienting function using integrated processes, technologies and resources at a reduced cost. </w:t>
      </w:r>
    </w:p>
    <w:p w14:paraId="71CF3F69" w14:textId="77777777" w:rsidR="00BA7AF2" w:rsidRDefault="00BA7AF2" w:rsidP="00951AA5">
      <w:pPr>
        <w:rPr>
          <w:rFonts w:asciiTheme="minorHAnsi" w:hAnsiTheme="minorHAnsi" w:cstheme="minorHAnsi"/>
        </w:rPr>
      </w:pPr>
    </w:p>
    <w:p w14:paraId="0EDFB11D" w14:textId="47DA74F1" w:rsidR="00E70D77" w:rsidRDefault="00E70D77" w:rsidP="00951AA5">
      <w:pPr>
        <w:rPr>
          <w:rFonts w:asciiTheme="minorHAnsi" w:hAnsiTheme="minorHAnsi" w:cstheme="minorHAnsi"/>
        </w:rPr>
      </w:pPr>
      <w:r>
        <w:rPr>
          <w:rFonts w:asciiTheme="minorHAnsi" w:hAnsiTheme="minorHAnsi" w:cstheme="minorHAnsi"/>
        </w:rPr>
        <w:t xml:space="preserve">It is expected that </w:t>
      </w:r>
      <w:r w:rsidR="004005D2">
        <w:rPr>
          <w:rFonts w:asciiTheme="minorHAnsi" w:hAnsiTheme="minorHAnsi" w:cstheme="minorHAnsi"/>
        </w:rPr>
        <w:t xml:space="preserve">£400K+ </w:t>
      </w:r>
      <w:r>
        <w:rPr>
          <w:rFonts w:asciiTheme="minorHAnsi" w:hAnsiTheme="minorHAnsi" w:cstheme="minorHAnsi"/>
        </w:rPr>
        <w:t>savings can be delivered by 2017/18 through a re-procured and re-focused FM service include:</w:t>
      </w:r>
    </w:p>
    <w:p w14:paraId="193CAD13" w14:textId="5DD8283C" w:rsidR="00E70D77" w:rsidRDefault="00E70D77" w:rsidP="00C1048E">
      <w:pPr>
        <w:pStyle w:val="ListParagraph"/>
        <w:numPr>
          <w:ilvl w:val="0"/>
          <w:numId w:val="38"/>
        </w:numPr>
        <w:rPr>
          <w:rFonts w:asciiTheme="minorHAnsi" w:hAnsiTheme="minorHAnsi" w:cstheme="minorHAnsi"/>
        </w:rPr>
      </w:pPr>
      <w:r w:rsidRPr="00E70D77">
        <w:rPr>
          <w:rFonts w:asciiTheme="minorHAnsi" w:hAnsiTheme="minorHAnsi" w:cstheme="minorHAnsi"/>
        </w:rPr>
        <w:t xml:space="preserve">a reduction in FM contracts for hard and soft services </w:t>
      </w:r>
    </w:p>
    <w:p w14:paraId="1186828D" w14:textId="71E60292" w:rsidR="00E70D77" w:rsidRDefault="00E70D77" w:rsidP="00C1048E">
      <w:pPr>
        <w:pStyle w:val="ListParagraph"/>
        <w:numPr>
          <w:ilvl w:val="0"/>
          <w:numId w:val="38"/>
        </w:numPr>
        <w:rPr>
          <w:rFonts w:asciiTheme="minorHAnsi" w:hAnsiTheme="minorHAnsi" w:cstheme="minorHAnsi"/>
        </w:rPr>
      </w:pPr>
      <w:r>
        <w:rPr>
          <w:rFonts w:asciiTheme="minorHAnsi" w:hAnsiTheme="minorHAnsi" w:cstheme="minorHAnsi"/>
        </w:rPr>
        <w:t>economies of scale through procurement via a single provider</w:t>
      </w:r>
    </w:p>
    <w:p w14:paraId="0FCC961D" w14:textId="3B281826" w:rsidR="00E70D77" w:rsidRDefault="00E70D77" w:rsidP="00C1048E">
      <w:pPr>
        <w:pStyle w:val="ListParagraph"/>
        <w:numPr>
          <w:ilvl w:val="0"/>
          <w:numId w:val="38"/>
        </w:numPr>
        <w:rPr>
          <w:rFonts w:asciiTheme="minorHAnsi" w:hAnsiTheme="minorHAnsi" w:cstheme="minorHAnsi"/>
        </w:rPr>
      </w:pPr>
      <w:r>
        <w:rPr>
          <w:rFonts w:asciiTheme="minorHAnsi" w:hAnsiTheme="minorHAnsi" w:cstheme="minorHAnsi"/>
        </w:rPr>
        <w:t>integration of FM functions into a single client team</w:t>
      </w:r>
    </w:p>
    <w:p w14:paraId="64AD6D1F" w14:textId="77777777" w:rsidR="00897B1F" w:rsidRPr="00E70D77" w:rsidRDefault="00897B1F" w:rsidP="00897B1F">
      <w:pPr>
        <w:pStyle w:val="ListParagraph"/>
        <w:ind w:left="360"/>
        <w:rPr>
          <w:rFonts w:asciiTheme="minorHAnsi" w:hAnsiTheme="minorHAnsi" w:cstheme="minorHAnsi"/>
        </w:rPr>
      </w:pPr>
    </w:p>
    <w:p w14:paraId="4333284C" w14:textId="6CB65EAB" w:rsidR="001D703F" w:rsidRDefault="001D703F"/>
    <w:tbl>
      <w:tblPr>
        <w:tblStyle w:val="TableGrid"/>
        <w:tblW w:w="0" w:type="auto"/>
        <w:tblLook w:val="04A0" w:firstRow="1" w:lastRow="0" w:firstColumn="1" w:lastColumn="0" w:noHBand="0" w:noVBand="1"/>
      </w:tblPr>
      <w:tblGrid>
        <w:gridCol w:w="10682"/>
      </w:tblGrid>
      <w:tr w:rsidR="00A86C94" w14:paraId="744A6E96" w14:textId="77777777" w:rsidTr="00A86C94">
        <w:tc>
          <w:tcPr>
            <w:tcW w:w="10682" w:type="dxa"/>
            <w:shd w:val="clear" w:color="auto" w:fill="A6A6A6" w:themeFill="background1" w:themeFillShade="A6"/>
          </w:tcPr>
          <w:p w14:paraId="0006AA4C" w14:textId="0DE271C4" w:rsidR="00A86C94" w:rsidRDefault="00A86C94" w:rsidP="00A86C94">
            <w:pPr>
              <w:rPr>
                <w:highlight w:val="lightGray"/>
              </w:rPr>
            </w:pPr>
            <w:r w:rsidRPr="00963A6B">
              <w:rPr>
                <w:b/>
                <w:highlight w:val="lightGray"/>
              </w:rPr>
              <w:t>3.3.3</w:t>
            </w:r>
            <w:r>
              <w:rPr>
                <w:highlight w:val="lightGray"/>
              </w:rPr>
              <w:tab/>
            </w:r>
            <w:r w:rsidRPr="00396D9D">
              <w:rPr>
                <w:highlight w:val="lightGray"/>
              </w:rPr>
              <w:t>A SUSTAINABLE AND EFFICIENT ESTATE</w:t>
            </w:r>
          </w:p>
          <w:p w14:paraId="1ABFD4E4" w14:textId="77777777" w:rsidR="00A86C94" w:rsidRPr="00396D9D" w:rsidRDefault="00A86C94" w:rsidP="00A86C94">
            <w:pPr>
              <w:rPr>
                <w:highlight w:val="lightGray"/>
              </w:rPr>
            </w:pPr>
          </w:p>
          <w:p w14:paraId="13CB2B57" w14:textId="4C36ED61" w:rsidR="00A86C94" w:rsidRPr="00A86C94" w:rsidRDefault="00A86C94" w:rsidP="00A86C94">
            <w:r w:rsidRPr="00396D9D">
              <w:rPr>
                <w:i/>
                <w:highlight w:val="lightGray"/>
              </w:rPr>
              <w:t>Management of assets based on an understanding of opportunity costs and long-term potential alongside the costs and benefits in the here and now</w:t>
            </w:r>
          </w:p>
        </w:tc>
      </w:tr>
    </w:tbl>
    <w:p w14:paraId="0A9DF095" w14:textId="77777777" w:rsidR="00951AA5" w:rsidRPr="005B724A" w:rsidRDefault="00951AA5" w:rsidP="00951AA5">
      <w:pPr>
        <w:pStyle w:val="Header"/>
        <w:tabs>
          <w:tab w:val="clear" w:pos="4153"/>
          <w:tab w:val="clear" w:pos="8306"/>
          <w:tab w:val="left" w:pos="1890"/>
        </w:tabs>
        <w:jc w:val="both"/>
        <w:rPr>
          <w:rFonts w:asciiTheme="minorHAnsi" w:hAnsiTheme="minorHAnsi" w:cstheme="minorHAnsi"/>
          <w:sz w:val="22"/>
          <w:szCs w:val="22"/>
        </w:rPr>
      </w:pPr>
    </w:p>
    <w:p w14:paraId="070AC78B" w14:textId="0EADA7D0" w:rsidR="00E43CDC" w:rsidRDefault="00E43CDC" w:rsidP="00E43CDC">
      <w:r>
        <w:t>Sustainability will need to be a fundamental part of the Council’s approach to resolving the challenge of delivering high quality services with very limited resources</w:t>
      </w:r>
      <w:r w:rsidR="00146C41">
        <w:t>. T</w:t>
      </w:r>
      <w:r>
        <w:t>his is not a luxury: it is first and foremost focusing relentlessly on avoiding waste in the way our buildings and staff use resources.</w:t>
      </w:r>
      <w:r w:rsidR="006C1220">
        <w:t xml:space="preserve">  The way the Council maintains and uses its assets are among the most important way</w:t>
      </w:r>
      <w:r w:rsidR="00146C41">
        <w:t>s</w:t>
      </w:r>
      <w:r w:rsidR="006C1220">
        <w:t xml:space="preserve"> in which </w:t>
      </w:r>
      <w:r w:rsidR="00146C41">
        <w:t xml:space="preserve">it can cut waste and </w:t>
      </w:r>
      <w:r w:rsidR="006C1220">
        <w:t>achieve a more sustainable use of resources.</w:t>
      </w:r>
    </w:p>
    <w:p w14:paraId="4395DE10" w14:textId="77777777" w:rsidR="00E43CDC" w:rsidRDefault="00E43CDC" w:rsidP="00E43CDC"/>
    <w:p w14:paraId="42FB0287" w14:textId="043F69B3" w:rsidR="00D942F1" w:rsidRPr="005B724A" w:rsidRDefault="00E43CDC" w:rsidP="00E43CDC">
      <w:r w:rsidRPr="005B724A">
        <w:t xml:space="preserve"> </w:t>
      </w:r>
      <w:r w:rsidR="00D942F1" w:rsidRPr="005B724A">
        <w:t>Lewisham Council</w:t>
      </w:r>
      <w:r w:rsidR="00951AA5" w:rsidRPr="005B724A">
        <w:t xml:space="preserve">’s </w:t>
      </w:r>
      <w:hyperlink r:id="rId19" w:history="1">
        <w:r w:rsidR="00951AA5" w:rsidRPr="00146C41">
          <w:rPr>
            <w:rStyle w:val="Hyperlink"/>
          </w:rPr>
          <w:t>Commitment to the Environment</w:t>
        </w:r>
      </w:hyperlink>
      <w:r w:rsidR="00951AA5" w:rsidRPr="005B724A">
        <w:t xml:space="preserve">  sets out how the Council looks to</w:t>
      </w:r>
      <w:r w:rsidR="00D942F1" w:rsidRPr="005B724A">
        <w:t xml:space="preserve"> minimise the environmental impact of all our operations through</w:t>
      </w:r>
      <w:r w:rsidR="00951AA5" w:rsidRPr="005B724A">
        <w:t>,</w:t>
      </w:r>
      <w:r w:rsidR="00D942F1" w:rsidRPr="005B724A">
        <w:t xml:space="preserve"> </w:t>
      </w:r>
      <w:r w:rsidR="00951AA5" w:rsidRPr="005B724A">
        <w:t xml:space="preserve">policies, </w:t>
      </w:r>
      <w:r w:rsidR="00D942F1" w:rsidRPr="005B724A">
        <w:t>services</w:t>
      </w:r>
      <w:r w:rsidR="00951AA5" w:rsidRPr="005B724A">
        <w:t xml:space="preserve"> and t</w:t>
      </w:r>
      <w:r w:rsidR="00A91DEF" w:rsidRPr="005B724A">
        <w:t xml:space="preserve">he </w:t>
      </w:r>
      <w:r w:rsidR="00951AA5" w:rsidRPr="005B724A">
        <w:t>Council</w:t>
      </w:r>
      <w:r w:rsidR="00A91DEF" w:rsidRPr="005B724A">
        <w:t>’s</w:t>
      </w:r>
      <w:r w:rsidR="00951AA5" w:rsidRPr="005B724A">
        <w:t xml:space="preserve"> </w:t>
      </w:r>
      <w:r w:rsidR="00D942F1" w:rsidRPr="005B724A">
        <w:t>use</w:t>
      </w:r>
      <w:r w:rsidR="00A91DEF" w:rsidRPr="005B724A">
        <w:t xml:space="preserve"> of </w:t>
      </w:r>
      <w:r w:rsidR="00D942F1" w:rsidRPr="005B724A">
        <w:t>resources</w:t>
      </w:r>
      <w:r w:rsidR="000F30CE">
        <w:t xml:space="preserve">. </w:t>
      </w:r>
      <w:r w:rsidR="00A91DEF" w:rsidRPr="005B724A">
        <w:t xml:space="preserve">The Council publishes information on its </w:t>
      </w:r>
      <w:hyperlink r:id="rId20" w:history="1">
        <w:r w:rsidR="00A91DEF" w:rsidRPr="00146C41">
          <w:rPr>
            <w:rStyle w:val="Hyperlink"/>
          </w:rPr>
          <w:t>use of resources</w:t>
        </w:r>
      </w:hyperlink>
      <w:r w:rsidR="00146C41">
        <w:t xml:space="preserve"> on an annual basis</w:t>
      </w:r>
      <w:r w:rsidR="00A91DEF" w:rsidRPr="005B724A">
        <w:t>.</w:t>
      </w:r>
      <w:r w:rsidR="00D942F1" w:rsidRPr="005B724A">
        <w:t xml:space="preserve">  </w:t>
      </w:r>
    </w:p>
    <w:p w14:paraId="3E56D73E" w14:textId="77777777" w:rsidR="00D942F1" w:rsidRPr="005B724A" w:rsidRDefault="00D942F1" w:rsidP="00D942F1"/>
    <w:p w14:paraId="4978B3B1" w14:textId="65D34F46" w:rsidR="00396D9D" w:rsidRPr="00396D9D" w:rsidRDefault="00E87616" w:rsidP="00396D9D">
      <w:pPr>
        <w:rPr>
          <w:u w:val="single"/>
        </w:rPr>
      </w:pPr>
      <w:r>
        <w:rPr>
          <w:u w:val="single"/>
        </w:rPr>
        <w:t xml:space="preserve">(i) </w:t>
      </w:r>
      <w:r w:rsidR="00396D9D" w:rsidRPr="00396D9D">
        <w:rPr>
          <w:u w:val="single"/>
        </w:rPr>
        <w:t>Carbon/energy targets</w:t>
      </w:r>
    </w:p>
    <w:p w14:paraId="2D439657" w14:textId="29AA19B3" w:rsidR="00D942F1" w:rsidRPr="005B724A" w:rsidRDefault="00A91DEF" w:rsidP="00D942F1">
      <w:r w:rsidRPr="005B724A">
        <w:t>A new</w:t>
      </w:r>
      <w:r w:rsidR="00146C41">
        <w:t xml:space="preserve"> Council</w:t>
      </w:r>
      <w:r w:rsidRPr="005B724A">
        <w:t xml:space="preserve"> </w:t>
      </w:r>
      <w:hyperlink r:id="rId21" w:history="1">
        <w:r w:rsidRPr="00146C41">
          <w:rPr>
            <w:rStyle w:val="Hyperlink"/>
          </w:rPr>
          <w:t>Energy Policy</w:t>
        </w:r>
      </w:hyperlink>
      <w:r w:rsidRPr="005B724A">
        <w:t xml:space="preserve"> was agreed by Mayor and Cabinet in</w:t>
      </w:r>
      <w:r w:rsidR="00146C41">
        <w:t xml:space="preserve"> July 2014</w:t>
      </w:r>
      <w:r w:rsidRPr="005B724A">
        <w:t xml:space="preserve">. The Policy </w:t>
      </w:r>
      <w:r w:rsidR="000F30CE" w:rsidRPr="005B724A">
        <w:t>commits to delivering a 20% reduction in annual carbon emissions from energy use in buildings across the Council’s operational estate by March 2018 from a baseline of 2012/13</w:t>
      </w:r>
      <w:r w:rsidR="000F30CE">
        <w:t xml:space="preserve"> and </w:t>
      </w:r>
      <w:r w:rsidR="00D942F1" w:rsidRPr="005B724A">
        <w:t>identifies how the Council’s management of energy will contribute to the council’s corporate priorities through:</w:t>
      </w:r>
    </w:p>
    <w:p w14:paraId="14EB6545" w14:textId="77777777" w:rsidR="00D942F1" w:rsidRPr="005B724A" w:rsidRDefault="00D942F1" w:rsidP="00C1048E">
      <w:pPr>
        <w:numPr>
          <w:ilvl w:val="0"/>
          <w:numId w:val="6"/>
        </w:numPr>
      </w:pPr>
      <w:r w:rsidRPr="005B724A">
        <w:t>Reducing exposure to rising energy costs and achieving value for money energy contracts</w:t>
      </w:r>
    </w:p>
    <w:p w14:paraId="2598BD7E" w14:textId="77777777" w:rsidR="00D942F1" w:rsidRPr="005B724A" w:rsidRDefault="00D942F1" w:rsidP="00C1048E">
      <w:pPr>
        <w:numPr>
          <w:ilvl w:val="0"/>
          <w:numId w:val="6"/>
        </w:numPr>
      </w:pPr>
      <w:r w:rsidRPr="005B724A">
        <w:t>Cutting waste and driving efficiency across operational buildings</w:t>
      </w:r>
    </w:p>
    <w:p w14:paraId="6FAA51CE" w14:textId="77777777" w:rsidR="00D942F1" w:rsidRPr="005B724A" w:rsidRDefault="00D942F1" w:rsidP="00C1048E">
      <w:pPr>
        <w:numPr>
          <w:ilvl w:val="0"/>
          <w:numId w:val="6"/>
        </w:numPr>
      </w:pPr>
      <w:r w:rsidRPr="005B724A">
        <w:t>Enabling schools to meet increased pupil numbers while controlling energy costs</w:t>
      </w:r>
    </w:p>
    <w:p w14:paraId="74112D2A" w14:textId="77777777" w:rsidR="00D942F1" w:rsidRPr="005B724A" w:rsidRDefault="00D942F1" w:rsidP="00C1048E">
      <w:pPr>
        <w:numPr>
          <w:ilvl w:val="0"/>
          <w:numId w:val="6"/>
        </w:numPr>
      </w:pPr>
      <w:r w:rsidRPr="005B724A">
        <w:t xml:space="preserve">Reducing the Council’s carbon footprint and contributing to wider environmental objectives </w:t>
      </w:r>
    </w:p>
    <w:p w14:paraId="51FEA2A9" w14:textId="77777777" w:rsidR="00D942F1" w:rsidRPr="005B724A" w:rsidRDefault="00D942F1" w:rsidP="00C1048E">
      <w:pPr>
        <w:numPr>
          <w:ilvl w:val="0"/>
          <w:numId w:val="6"/>
        </w:numPr>
      </w:pPr>
      <w:r w:rsidRPr="005B724A">
        <w:t>Minimising the risk of energy supply disruption and maintaining acceptable temperatures in buildings delivering services to service users and staff</w:t>
      </w:r>
    </w:p>
    <w:p w14:paraId="30B317B8" w14:textId="77777777" w:rsidR="00D942F1" w:rsidRPr="005B724A" w:rsidRDefault="00D942F1" w:rsidP="00C1048E">
      <w:pPr>
        <w:numPr>
          <w:ilvl w:val="0"/>
          <w:numId w:val="6"/>
        </w:numPr>
      </w:pPr>
      <w:r w:rsidRPr="005B724A">
        <w:t>Ensuring the Council complies with legislation and statutory functions relating to energy supply and use in corporate buildings</w:t>
      </w:r>
    </w:p>
    <w:p w14:paraId="61A1BE04" w14:textId="77777777" w:rsidR="00D942F1" w:rsidRPr="005B724A" w:rsidRDefault="00D942F1" w:rsidP="00D942F1"/>
    <w:p w14:paraId="150386EF" w14:textId="1655C3F8" w:rsidR="00D942F1" w:rsidRPr="005B724A" w:rsidRDefault="00D942F1" w:rsidP="00D942F1">
      <w:r w:rsidRPr="005B724A">
        <w:t>The Council will seek to take a strategic approach in the use of its assets across the borough, being ambitious in using our estate as a tool to unlock new opportunities for the generation and supply of energy.  This includes work in partnership with others to promote district heating; the use of photovoltaics and other renewables to cut carbon emissions as well as create opportunities for further investment; and exploring the scope for energy supply as a means to deliver against wider social and environmental objectives and generate economic benefits.</w:t>
      </w:r>
    </w:p>
    <w:p w14:paraId="435C2C61" w14:textId="77777777" w:rsidR="00D942F1" w:rsidRPr="005B724A" w:rsidRDefault="00D942F1" w:rsidP="00D942F1"/>
    <w:p w14:paraId="25AFB3CD" w14:textId="77777777" w:rsidR="00D942F1" w:rsidRPr="005B724A" w:rsidRDefault="00D942F1" w:rsidP="00D942F1">
      <w:r w:rsidRPr="005B724A">
        <w:t xml:space="preserve">We will achieve our commitments through improvements in </w:t>
      </w:r>
    </w:p>
    <w:p w14:paraId="609174D2" w14:textId="77777777" w:rsidR="00D942F1" w:rsidRPr="005B724A" w:rsidRDefault="00D942F1" w:rsidP="00D942F1"/>
    <w:p w14:paraId="473B82B7" w14:textId="77777777" w:rsidR="00D942F1" w:rsidRPr="005B724A" w:rsidRDefault="00D942F1" w:rsidP="00D942F1">
      <w:r w:rsidRPr="005B724A">
        <w:t>1) Monitoring and targeting</w:t>
      </w:r>
    </w:p>
    <w:p w14:paraId="51128BEF" w14:textId="77777777" w:rsidR="00D942F1" w:rsidRPr="005B724A" w:rsidRDefault="00D942F1" w:rsidP="00C1048E">
      <w:pPr>
        <w:numPr>
          <w:ilvl w:val="0"/>
          <w:numId w:val="7"/>
        </w:numPr>
      </w:pPr>
      <w:r w:rsidRPr="005B724A">
        <w:t xml:space="preserve">Establishing an evidenced based approach to improving energy efficiency </w:t>
      </w:r>
    </w:p>
    <w:p w14:paraId="4F8F276A" w14:textId="77777777" w:rsidR="00D942F1" w:rsidRPr="005B724A" w:rsidRDefault="00D942F1" w:rsidP="00C1048E">
      <w:pPr>
        <w:numPr>
          <w:ilvl w:val="0"/>
          <w:numId w:val="7"/>
        </w:numPr>
      </w:pPr>
      <w:r w:rsidRPr="005B724A">
        <w:t>Benchmarking against best practice</w:t>
      </w:r>
    </w:p>
    <w:p w14:paraId="41E7F44F" w14:textId="77777777" w:rsidR="00D942F1" w:rsidRPr="005B724A" w:rsidRDefault="00D942F1" w:rsidP="00C1048E">
      <w:pPr>
        <w:numPr>
          <w:ilvl w:val="0"/>
          <w:numId w:val="7"/>
        </w:numPr>
      </w:pPr>
      <w:r w:rsidRPr="005B724A">
        <w:t>Identifying and responding to high consuming buildings</w:t>
      </w:r>
    </w:p>
    <w:p w14:paraId="7A945CA1" w14:textId="77777777" w:rsidR="00D942F1" w:rsidRPr="005B724A" w:rsidRDefault="00D942F1" w:rsidP="00D942F1"/>
    <w:p w14:paraId="28B275D7" w14:textId="77777777" w:rsidR="00D942F1" w:rsidRPr="005B724A" w:rsidRDefault="00D942F1" w:rsidP="00D942F1">
      <w:r w:rsidRPr="005B724A">
        <w:t>2) Staff engagement and better use of buildings and equipment</w:t>
      </w:r>
    </w:p>
    <w:p w14:paraId="615F7B91" w14:textId="77777777" w:rsidR="00D942F1" w:rsidRPr="005B724A" w:rsidRDefault="00D942F1" w:rsidP="00C1048E">
      <w:pPr>
        <w:numPr>
          <w:ilvl w:val="0"/>
          <w:numId w:val="7"/>
        </w:numPr>
      </w:pPr>
      <w:r w:rsidRPr="005B724A">
        <w:t>Roles and responsibilities</w:t>
      </w:r>
    </w:p>
    <w:p w14:paraId="271447F0" w14:textId="77777777" w:rsidR="00D942F1" w:rsidRPr="005B724A" w:rsidRDefault="00D942F1" w:rsidP="00C1048E">
      <w:pPr>
        <w:numPr>
          <w:ilvl w:val="0"/>
          <w:numId w:val="7"/>
        </w:numPr>
      </w:pPr>
      <w:r w:rsidRPr="005B724A">
        <w:t>Updated protocols for heating standards</w:t>
      </w:r>
    </w:p>
    <w:p w14:paraId="501888FE" w14:textId="77777777" w:rsidR="00D942F1" w:rsidRPr="005B724A" w:rsidRDefault="00D942F1" w:rsidP="00D942F1"/>
    <w:p w14:paraId="584C6B10" w14:textId="77777777" w:rsidR="00D942F1" w:rsidRPr="005B724A" w:rsidRDefault="00D942F1" w:rsidP="00D942F1">
      <w:r w:rsidRPr="005B724A">
        <w:t>3) Investment in more energy efficient buildings</w:t>
      </w:r>
    </w:p>
    <w:p w14:paraId="06B42925" w14:textId="77777777" w:rsidR="00D942F1" w:rsidRPr="005B724A" w:rsidRDefault="00D942F1" w:rsidP="00C1048E">
      <w:pPr>
        <w:numPr>
          <w:ilvl w:val="0"/>
          <w:numId w:val="7"/>
        </w:numPr>
      </w:pPr>
      <w:r w:rsidRPr="005B724A">
        <w:t>Design for new build</w:t>
      </w:r>
    </w:p>
    <w:p w14:paraId="489B2C3C" w14:textId="77777777" w:rsidR="00D942F1" w:rsidRPr="005B724A" w:rsidRDefault="00D942F1" w:rsidP="00C1048E">
      <w:pPr>
        <w:numPr>
          <w:ilvl w:val="0"/>
          <w:numId w:val="7"/>
        </w:numPr>
      </w:pPr>
      <w:r w:rsidRPr="005B724A">
        <w:t>Standardised specifications for equipment across buildings</w:t>
      </w:r>
    </w:p>
    <w:p w14:paraId="03FCD1B1" w14:textId="77777777" w:rsidR="00D942F1" w:rsidRPr="005B724A" w:rsidRDefault="00D942F1" w:rsidP="00C1048E">
      <w:pPr>
        <w:numPr>
          <w:ilvl w:val="0"/>
          <w:numId w:val="7"/>
        </w:numPr>
      </w:pPr>
      <w:r w:rsidRPr="005B724A">
        <w:t xml:space="preserve">Targeted maintenance programmes ensuring equipment runs efficiently </w:t>
      </w:r>
    </w:p>
    <w:p w14:paraId="15052941" w14:textId="77777777" w:rsidR="00D942F1" w:rsidRPr="005B724A" w:rsidRDefault="00D942F1" w:rsidP="00C1048E">
      <w:pPr>
        <w:numPr>
          <w:ilvl w:val="0"/>
          <w:numId w:val="7"/>
        </w:numPr>
      </w:pPr>
      <w:r w:rsidRPr="005B724A">
        <w:t>Upgrading heating systems and plant where there is an economically viable case to do so</w:t>
      </w:r>
    </w:p>
    <w:p w14:paraId="020C4DB3" w14:textId="1FCD7A9F" w:rsidR="00D942F1" w:rsidRPr="005B724A" w:rsidRDefault="00D942F1" w:rsidP="00D942F1">
      <w:r w:rsidRPr="005B724A">
        <w:t xml:space="preserve"> </w:t>
      </w:r>
    </w:p>
    <w:p w14:paraId="2D0D9083" w14:textId="77777777" w:rsidR="00D942F1" w:rsidRPr="005B724A" w:rsidRDefault="00D942F1" w:rsidP="00D942F1">
      <w:r w:rsidRPr="005B724A">
        <w:t xml:space="preserve">4) Delivery of a fit for purpose operational estate </w:t>
      </w:r>
    </w:p>
    <w:p w14:paraId="7C6DCC2D" w14:textId="6BCED09C" w:rsidR="00D942F1" w:rsidRPr="005B724A" w:rsidRDefault="00D942F1" w:rsidP="00C1048E">
      <w:pPr>
        <w:numPr>
          <w:ilvl w:val="0"/>
          <w:numId w:val="7"/>
        </w:numPr>
      </w:pPr>
      <w:r w:rsidRPr="005B724A">
        <w:t>Taking a strategic approach to operational sites; getting more out of the buildings we use</w:t>
      </w:r>
    </w:p>
    <w:p w14:paraId="1B3EE258" w14:textId="77777777" w:rsidR="00D942F1" w:rsidRPr="005B724A" w:rsidRDefault="00D942F1" w:rsidP="00C1048E">
      <w:pPr>
        <w:numPr>
          <w:ilvl w:val="0"/>
          <w:numId w:val="7"/>
        </w:numPr>
      </w:pPr>
      <w:r w:rsidRPr="005B724A">
        <w:t>Enabling schools to meet the demands of today and the future while managing energy consumption</w:t>
      </w:r>
    </w:p>
    <w:p w14:paraId="561421AB" w14:textId="77777777" w:rsidR="00396D9D" w:rsidRDefault="00396D9D" w:rsidP="00396D9D"/>
    <w:p w14:paraId="457F3C82" w14:textId="587068FB" w:rsidR="00396D9D" w:rsidRPr="00396D9D" w:rsidRDefault="00E87616" w:rsidP="00396D9D">
      <w:pPr>
        <w:rPr>
          <w:u w:val="single"/>
        </w:rPr>
      </w:pPr>
      <w:r>
        <w:rPr>
          <w:u w:val="single"/>
        </w:rPr>
        <w:t xml:space="preserve">(ii) </w:t>
      </w:r>
      <w:r w:rsidR="00396D9D" w:rsidRPr="00396D9D">
        <w:rPr>
          <w:u w:val="single"/>
        </w:rPr>
        <w:t>Corporate sustainability</w:t>
      </w:r>
    </w:p>
    <w:p w14:paraId="567E1785" w14:textId="77777777" w:rsidR="00D942F1" w:rsidRDefault="00D942F1" w:rsidP="00D942F1"/>
    <w:p w14:paraId="2B2EFAA0" w14:textId="556DDBF2" w:rsidR="0095627C" w:rsidRPr="0095627C" w:rsidRDefault="0096518D" w:rsidP="0095627C">
      <w:r w:rsidRPr="0096518D">
        <w:t>Effective use of resources is at the heart of corporate sustainability.</w:t>
      </w:r>
      <w:r>
        <w:t xml:space="preserve"> In achieving a clear focus on corporate sustainability and making the link to costs it is important that there is clear responsibility for corporate sustainability at a senior and operational level in relation to the management of the corporate estate.  This will be something that the reorganisation of Regeneration and Asset Management will establish, giving specific responsibility for delivering this through the operational estate in particular in relation to energy, waste and recycling and procurement.</w:t>
      </w:r>
      <w:r w:rsidRPr="0096518D">
        <w:t xml:space="preserve"> </w:t>
      </w:r>
    </w:p>
    <w:p w14:paraId="09957AB6" w14:textId="77777777" w:rsidR="0095627C" w:rsidRDefault="0095627C" w:rsidP="0095627C">
      <w:pPr>
        <w:rPr>
          <w:u w:val="single"/>
        </w:rPr>
      </w:pPr>
    </w:p>
    <w:p w14:paraId="51D81639" w14:textId="44519A33" w:rsidR="0095627C" w:rsidRPr="0095627C" w:rsidRDefault="0095627C" w:rsidP="0095627C">
      <w:r w:rsidRPr="0095627C">
        <w:t>The Council generates about 16,000 kg of waste every year. This is a poor use of resources and costs the organisation money. It also has an environmental impact, although the impact is mitigated to an extent by sending waste to a local energy from waste plant instead of landfill.</w:t>
      </w:r>
    </w:p>
    <w:p w14:paraId="69D9647E" w14:textId="77777777" w:rsidR="0095627C" w:rsidRPr="0095627C" w:rsidRDefault="0095627C" w:rsidP="0095627C"/>
    <w:p w14:paraId="5B8DAD9B" w14:textId="77777777" w:rsidR="0095627C" w:rsidRPr="0095627C" w:rsidRDefault="0095627C" w:rsidP="0095627C">
      <w:r w:rsidRPr="0095627C">
        <w:t>The Council’s approach to waste management is informed by the ‘waste hierarchy’:  5 steps for dealing with waste, ranked according to their environmental impact (EU Waste Framework Directive 2008/98/EC). Waste prevention, which is the best option for the environment, is the highest priority, followed by re-use, recycling, other recovery and disposal.</w:t>
      </w:r>
    </w:p>
    <w:p w14:paraId="6549F696" w14:textId="77777777" w:rsidR="0095627C" w:rsidRPr="0095627C" w:rsidRDefault="0095627C" w:rsidP="0095627C"/>
    <w:p w14:paraId="6185CC2E" w14:textId="77777777" w:rsidR="0095627C" w:rsidRPr="0095627C" w:rsidRDefault="0095627C" w:rsidP="0095627C">
      <w:r w:rsidRPr="0095627C">
        <w:t>To help the Council make the most of opportunities to save money by reducing waste, we follow a general waste prevention protocol which seeks to:</w:t>
      </w:r>
    </w:p>
    <w:p w14:paraId="6FC606E3" w14:textId="77777777" w:rsidR="0095627C" w:rsidRPr="0095627C" w:rsidRDefault="0095627C" w:rsidP="00C1048E">
      <w:pPr>
        <w:numPr>
          <w:ilvl w:val="0"/>
          <w:numId w:val="7"/>
        </w:numPr>
      </w:pPr>
      <w:r w:rsidRPr="0095627C">
        <w:t xml:space="preserve">contribute to a more sustainable economy by building waste reduction into design of buildings and services </w:t>
      </w:r>
    </w:p>
    <w:p w14:paraId="1B033538" w14:textId="77777777" w:rsidR="0095627C" w:rsidRPr="0095627C" w:rsidRDefault="0095627C" w:rsidP="00C1048E">
      <w:pPr>
        <w:numPr>
          <w:ilvl w:val="0"/>
          <w:numId w:val="7"/>
        </w:numPr>
      </w:pPr>
      <w:r w:rsidRPr="0095627C">
        <w:t>encourage a culture of valuing resources by making it easier for staff and residents to find out how to reduce waste, to use resources for longer, repair broken items, and enable reuse of items by others</w:t>
      </w:r>
    </w:p>
    <w:p w14:paraId="651D5778" w14:textId="77777777" w:rsidR="0095627C" w:rsidRPr="0095627C" w:rsidRDefault="0095627C" w:rsidP="00C1048E">
      <w:pPr>
        <w:numPr>
          <w:ilvl w:val="0"/>
          <w:numId w:val="7"/>
        </w:numPr>
      </w:pPr>
      <w:r w:rsidRPr="0095627C">
        <w:t>recognise and act upon potential savings through better resource efficiency and preventing waste, to realise opportunities for sustainable growth</w:t>
      </w:r>
    </w:p>
    <w:p w14:paraId="31B1844A" w14:textId="77777777" w:rsidR="0095627C" w:rsidRPr="0095627C" w:rsidRDefault="0095627C" w:rsidP="0095627C"/>
    <w:p w14:paraId="022CE1BB" w14:textId="77777777" w:rsidR="0095627C" w:rsidRPr="0095627C" w:rsidRDefault="0095627C" w:rsidP="0095627C">
      <w:r w:rsidRPr="0095627C">
        <w:lastRenderedPageBreak/>
        <w:t>Waste management practices must be consistent across all our operational buildings and should include the following elements:</w:t>
      </w:r>
    </w:p>
    <w:p w14:paraId="37F72B81" w14:textId="77777777" w:rsidR="0095627C" w:rsidRPr="0095627C" w:rsidRDefault="0095627C" w:rsidP="00C1048E">
      <w:pPr>
        <w:numPr>
          <w:ilvl w:val="0"/>
          <w:numId w:val="7"/>
        </w:numPr>
      </w:pPr>
      <w:r w:rsidRPr="0095627C">
        <w:t>clearly labelled, accessible recycling points with a minimum of one recycling for every waste bin</w:t>
      </w:r>
    </w:p>
    <w:p w14:paraId="204CCA1C" w14:textId="77777777" w:rsidR="0095627C" w:rsidRPr="0095627C" w:rsidRDefault="0095627C" w:rsidP="00C1048E">
      <w:pPr>
        <w:numPr>
          <w:ilvl w:val="0"/>
          <w:numId w:val="7"/>
        </w:numPr>
      </w:pPr>
      <w:r w:rsidRPr="0095627C">
        <w:t>staff communications to minimise contamination of recycling material</w:t>
      </w:r>
    </w:p>
    <w:p w14:paraId="3CF24A45" w14:textId="77777777" w:rsidR="0095627C" w:rsidRPr="0095627C" w:rsidRDefault="0095627C" w:rsidP="00C1048E">
      <w:pPr>
        <w:numPr>
          <w:ilvl w:val="0"/>
          <w:numId w:val="7"/>
        </w:numPr>
      </w:pPr>
      <w:r w:rsidRPr="0095627C">
        <w:t xml:space="preserve">confidential waste arrangements in place, with recycling provision included </w:t>
      </w:r>
    </w:p>
    <w:p w14:paraId="36181873" w14:textId="77777777" w:rsidR="0095627C" w:rsidRPr="0095627C" w:rsidRDefault="0095627C" w:rsidP="00C1048E">
      <w:pPr>
        <w:numPr>
          <w:ilvl w:val="0"/>
          <w:numId w:val="7"/>
        </w:numPr>
      </w:pPr>
      <w:r w:rsidRPr="0095627C">
        <w:t>emptying of bins on a daily basis, ensuring the waste is placed in the correct external container</w:t>
      </w:r>
    </w:p>
    <w:p w14:paraId="556ED662" w14:textId="77777777" w:rsidR="0095627C" w:rsidRPr="0095627C" w:rsidRDefault="0095627C" w:rsidP="00C1048E">
      <w:pPr>
        <w:numPr>
          <w:ilvl w:val="0"/>
          <w:numId w:val="7"/>
        </w:numPr>
      </w:pPr>
      <w:r w:rsidRPr="0095627C">
        <w:t>provision of both recycling and non-recycling waste containers in secure external cages, with appropriate collection arrangements in place</w:t>
      </w:r>
    </w:p>
    <w:p w14:paraId="182348F1" w14:textId="77777777" w:rsidR="0095627C" w:rsidRPr="0095627C" w:rsidRDefault="0095627C" w:rsidP="0095627C"/>
    <w:p w14:paraId="1CB20923" w14:textId="49D6B76A" w:rsidR="0095627C" w:rsidRPr="0095627C" w:rsidRDefault="0095627C" w:rsidP="0095627C">
      <w:r w:rsidRPr="0095627C">
        <w:t xml:space="preserve">Recycling rates </w:t>
      </w:r>
      <w:r w:rsidR="00CB64A4">
        <w:t xml:space="preserve">will </w:t>
      </w:r>
      <w:r w:rsidRPr="0095627C">
        <w:t xml:space="preserve">be monitored as part of the waste and recycling contract, and reported in the </w:t>
      </w:r>
      <w:r w:rsidR="002870AE">
        <w:t>Annual Business Report for corporate assets</w:t>
      </w:r>
      <w:r w:rsidRPr="0095627C">
        <w:t>.</w:t>
      </w:r>
    </w:p>
    <w:p w14:paraId="75155768" w14:textId="77777777" w:rsidR="0095627C" w:rsidRPr="0095627C" w:rsidRDefault="0095627C" w:rsidP="0095627C"/>
    <w:p w14:paraId="06474EC0" w14:textId="45CF058F" w:rsidR="0095627C" w:rsidRPr="0095627C" w:rsidRDefault="0095627C" w:rsidP="0095627C">
      <w:r>
        <w:t>A</w:t>
      </w:r>
      <w:r w:rsidRPr="0095627C">
        <w:t xml:space="preserve">s a local authority, we are in a strong position to influence the market. We are working towards using our buying power to opt for goods and services that respect the environment, and take into account the social and economic impacts of our buying power. </w:t>
      </w:r>
      <w:r w:rsidR="002870AE">
        <w:t>The Council’s</w:t>
      </w:r>
      <w:r w:rsidRPr="0095627C">
        <w:t xml:space="preserve"> </w:t>
      </w:r>
      <w:hyperlink r:id="rId22" w:history="1">
        <w:r w:rsidRPr="0095627C">
          <w:rPr>
            <w:rStyle w:val="Hyperlink"/>
          </w:rPr>
          <w:t>Sustainable Procurement Strategy</w:t>
        </w:r>
      </w:hyperlink>
      <w:r w:rsidRPr="0095627C">
        <w:t xml:space="preserve"> </w:t>
      </w:r>
      <w:r w:rsidR="002870AE">
        <w:t xml:space="preserve">includes </w:t>
      </w:r>
      <w:r w:rsidRPr="0095627C">
        <w:t xml:space="preserve">a set of commitments </w:t>
      </w:r>
      <w:r w:rsidR="002870AE">
        <w:t>that respond to this</w:t>
      </w:r>
      <w:r w:rsidRPr="0095627C">
        <w:t>:</w:t>
      </w:r>
    </w:p>
    <w:p w14:paraId="669A6B23" w14:textId="77777777" w:rsidR="0095627C" w:rsidRPr="0095627C" w:rsidRDefault="00897F7D" w:rsidP="00C1048E">
      <w:pPr>
        <w:numPr>
          <w:ilvl w:val="0"/>
          <w:numId w:val="35"/>
        </w:numPr>
      </w:pPr>
      <w:hyperlink r:id="rId23" w:history="1">
        <w:r w:rsidR="0095627C" w:rsidRPr="0095627C">
          <w:rPr>
            <w:rStyle w:val="Hyperlink"/>
          </w:rPr>
          <w:t>Code of Practice for Contractors</w:t>
        </w:r>
      </w:hyperlink>
    </w:p>
    <w:p w14:paraId="4D0CFE72" w14:textId="77777777" w:rsidR="0095627C" w:rsidRPr="0095627C" w:rsidRDefault="00897F7D" w:rsidP="00C1048E">
      <w:pPr>
        <w:numPr>
          <w:ilvl w:val="0"/>
          <w:numId w:val="35"/>
        </w:numPr>
      </w:pPr>
      <w:hyperlink r:id="rId24" w:history="1">
        <w:r w:rsidR="0095627C" w:rsidRPr="0095627C">
          <w:rPr>
            <w:rStyle w:val="Hyperlink"/>
          </w:rPr>
          <w:t>Social Value Policy</w:t>
        </w:r>
      </w:hyperlink>
      <w:r w:rsidR="0095627C" w:rsidRPr="0095627C">
        <w:t xml:space="preserve"> </w:t>
      </w:r>
    </w:p>
    <w:p w14:paraId="068A485D" w14:textId="77777777" w:rsidR="0095627C" w:rsidRPr="0095627C" w:rsidRDefault="00897F7D" w:rsidP="00C1048E">
      <w:pPr>
        <w:numPr>
          <w:ilvl w:val="0"/>
          <w:numId w:val="35"/>
        </w:numPr>
      </w:pPr>
      <w:hyperlink r:id="rId25" w:history="1">
        <w:r w:rsidR="0095627C" w:rsidRPr="0095627C">
          <w:rPr>
            <w:rStyle w:val="Hyperlink"/>
          </w:rPr>
          <w:t>Sustainable Timber Policy</w:t>
        </w:r>
      </w:hyperlink>
    </w:p>
    <w:p w14:paraId="0206CF50" w14:textId="77777777" w:rsidR="0095627C" w:rsidRPr="0095627C" w:rsidRDefault="00897F7D" w:rsidP="00C1048E">
      <w:pPr>
        <w:numPr>
          <w:ilvl w:val="0"/>
          <w:numId w:val="35"/>
        </w:numPr>
      </w:pPr>
      <w:hyperlink r:id="rId26" w:history="1">
        <w:r w:rsidR="0095627C" w:rsidRPr="0095627C">
          <w:rPr>
            <w:rStyle w:val="Hyperlink"/>
          </w:rPr>
          <w:t>Sustainable Seafood Commitment</w:t>
        </w:r>
      </w:hyperlink>
    </w:p>
    <w:p w14:paraId="5A4BD407" w14:textId="77777777" w:rsidR="0095627C" w:rsidRPr="0095627C" w:rsidRDefault="0095627C" w:rsidP="0095627C"/>
    <w:p w14:paraId="2A11F194" w14:textId="77777777" w:rsidR="0095627C" w:rsidRPr="0095627C" w:rsidRDefault="0095627C" w:rsidP="0095627C">
      <w:r w:rsidRPr="0095627C">
        <w:t>In order to enforce these policies and commitments, as staff sustainable procurement toolkit has been developed:</w:t>
      </w:r>
    </w:p>
    <w:p w14:paraId="3EE81B9F" w14:textId="77777777" w:rsidR="0095627C" w:rsidRPr="0095627C" w:rsidRDefault="00897F7D" w:rsidP="00C1048E">
      <w:pPr>
        <w:numPr>
          <w:ilvl w:val="0"/>
          <w:numId w:val="36"/>
        </w:numPr>
      </w:pPr>
      <w:hyperlink r:id="rId27" w:history="1">
        <w:r w:rsidR="0095627C" w:rsidRPr="0095627C">
          <w:rPr>
            <w:rStyle w:val="Hyperlink"/>
          </w:rPr>
          <w:t>Sustainable Procurement Toolkit</w:t>
        </w:r>
      </w:hyperlink>
    </w:p>
    <w:p w14:paraId="69786F69" w14:textId="77777777" w:rsidR="0095627C" w:rsidRPr="0095627C" w:rsidRDefault="0095627C" w:rsidP="0095627C"/>
    <w:p w14:paraId="2D56D6EC" w14:textId="5AEC6856" w:rsidR="0095627C" w:rsidRPr="0095627C" w:rsidRDefault="0095627C" w:rsidP="0095627C">
      <w:r w:rsidRPr="0095627C">
        <w:t xml:space="preserve">The toolkit contains guidance on the various environmental, social and economic considerations that may be relevant to the procurement and contains links to government buying standards and model tender questions to mitigate any sustainability risks identified. </w:t>
      </w:r>
      <w:r w:rsidR="00CB64A4">
        <w:t xml:space="preserve"> </w:t>
      </w:r>
      <w:r w:rsidRPr="0095627C">
        <w:t xml:space="preserve">The tool should be completed for any procurement with a value of £50,000 or more, and must be submitted to the Commissioning and Procurement Board as part of the standard gateway process. It should also be attached to the PID if one is required. </w:t>
      </w:r>
    </w:p>
    <w:p w14:paraId="6D5E221C" w14:textId="77777777" w:rsidR="00690673" w:rsidRDefault="00690673" w:rsidP="00690673">
      <w:pPr>
        <w:rPr>
          <w:u w:val="single"/>
        </w:rPr>
      </w:pPr>
    </w:p>
    <w:p w14:paraId="56CA1014" w14:textId="110978E0" w:rsidR="00690673" w:rsidRPr="0095627C" w:rsidRDefault="00690673" w:rsidP="00690673">
      <w:r>
        <w:t xml:space="preserve">The corporate estate needs to be sustainable in </w:t>
      </w:r>
      <w:r w:rsidR="000B688E">
        <w:t>order</w:t>
      </w:r>
      <w:r>
        <w:t xml:space="preserve"> to assess and respond to the risks associated with a changing climate.  </w:t>
      </w:r>
      <w:r w:rsidRPr="0095627C">
        <w:t>The I</w:t>
      </w:r>
      <w:r>
        <w:t xml:space="preserve">ntergovernmental </w:t>
      </w:r>
      <w:r w:rsidRPr="0095627C">
        <w:t>P</w:t>
      </w:r>
      <w:r>
        <w:t xml:space="preserve">anel on </w:t>
      </w:r>
      <w:r w:rsidRPr="0095627C">
        <w:t>C</w:t>
      </w:r>
      <w:r>
        <w:t xml:space="preserve">limate </w:t>
      </w:r>
      <w:r w:rsidRPr="0095627C">
        <w:t>C</w:t>
      </w:r>
      <w:r>
        <w:t xml:space="preserve">hange </w:t>
      </w:r>
      <w:r w:rsidRPr="0095627C">
        <w:t>warns that climate change is unequivocal and climate models predict that London and the South East are likely to experience:</w:t>
      </w:r>
    </w:p>
    <w:p w14:paraId="20D7B911" w14:textId="77777777" w:rsidR="00690673" w:rsidRPr="0095627C" w:rsidRDefault="00690673" w:rsidP="00C1048E">
      <w:pPr>
        <w:numPr>
          <w:ilvl w:val="0"/>
          <w:numId w:val="36"/>
        </w:numPr>
      </w:pPr>
      <w:r w:rsidRPr="0095627C">
        <w:t xml:space="preserve">average temperature increases of up to 3°C (hotter summers, milder winters) </w:t>
      </w:r>
    </w:p>
    <w:p w14:paraId="0EE386F0" w14:textId="77777777" w:rsidR="00690673" w:rsidRPr="0095627C" w:rsidRDefault="00690673" w:rsidP="00C1048E">
      <w:pPr>
        <w:numPr>
          <w:ilvl w:val="0"/>
          <w:numId w:val="36"/>
        </w:numPr>
      </w:pPr>
      <w:r w:rsidRPr="0095627C">
        <w:t>average rainfall decreases of up to 5% (higher likelihood of droughts)</w:t>
      </w:r>
    </w:p>
    <w:p w14:paraId="49BC5CC9" w14:textId="77777777" w:rsidR="00690673" w:rsidRPr="0095627C" w:rsidRDefault="00690673" w:rsidP="00C1048E">
      <w:pPr>
        <w:numPr>
          <w:ilvl w:val="0"/>
          <w:numId w:val="36"/>
        </w:numPr>
      </w:pPr>
      <w:r w:rsidRPr="0095627C">
        <w:t>more extreme weather events (higher likelihood of intense rainfall causing flooding)</w:t>
      </w:r>
    </w:p>
    <w:p w14:paraId="5A405C51" w14:textId="77777777" w:rsidR="00690673" w:rsidRPr="0095627C" w:rsidRDefault="00690673" w:rsidP="00690673"/>
    <w:p w14:paraId="72226C56" w14:textId="77777777" w:rsidR="00690673" w:rsidRDefault="00690673" w:rsidP="00690673">
      <w:r w:rsidRPr="0095627C">
        <w:t xml:space="preserve">The Council </w:t>
      </w:r>
      <w:r>
        <w:t xml:space="preserve">needs to </w:t>
      </w:r>
      <w:r w:rsidRPr="0095627C">
        <w:t xml:space="preserve">use these climate projections to ensure that </w:t>
      </w:r>
      <w:r>
        <w:t xml:space="preserve">the corporate portfolio remains </w:t>
      </w:r>
      <w:r w:rsidRPr="0095627C">
        <w:t xml:space="preserve">fit for purpose now and in the coming decades. This type of future-proofing is crucial both for the design and construction of new buildings, but also if we intend to retain buildings in the medium to long term, we need to ensure that they are optimised for the future UK climate. </w:t>
      </w:r>
      <w:r>
        <w:t xml:space="preserve"> Lewisham has modelled flooding risk for operational buildings and this data is being used as part of the review of properties informing future retention and investment decisions. </w:t>
      </w:r>
    </w:p>
    <w:p w14:paraId="777FED7A" w14:textId="77777777" w:rsidR="0095627C" w:rsidRPr="0095627C" w:rsidRDefault="0095627C" w:rsidP="0095627C">
      <w:pPr>
        <w:rPr>
          <w:u w:val="single"/>
        </w:rPr>
      </w:pPr>
    </w:p>
    <w:p w14:paraId="393B2EAE" w14:textId="4F62B7F4" w:rsidR="00690673" w:rsidRPr="00160C74" w:rsidRDefault="00690673" w:rsidP="00690673">
      <w:pPr>
        <w:rPr>
          <w:b/>
          <w:sz w:val="24"/>
          <w:szCs w:val="24"/>
        </w:rPr>
      </w:pPr>
      <w:r w:rsidRPr="00160C74">
        <w:rPr>
          <w:b/>
          <w:sz w:val="24"/>
          <w:szCs w:val="24"/>
        </w:rPr>
        <w:t>3.</w:t>
      </w:r>
      <w:r>
        <w:rPr>
          <w:b/>
          <w:sz w:val="24"/>
          <w:szCs w:val="24"/>
        </w:rPr>
        <w:t>4</w:t>
      </w:r>
      <w:r w:rsidRPr="00160C74">
        <w:rPr>
          <w:b/>
          <w:sz w:val="24"/>
          <w:szCs w:val="24"/>
        </w:rPr>
        <w:tab/>
        <w:t>Compliance and risk</w:t>
      </w:r>
    </w:p>
    <w:p w14:paraId="2E7A9C9C" w14:textId="77777777" w:rsidR="00690673" w:rsidRDefault="00690673" w:rsidP="00690673">
      <w:pPr>
        <w:rPr>
          <w:u w:val="single"/>
        </w:rPr>
      </w:pPr>
    </w:p>
    <w:p w14:paraId="30D6C685" w14:textId="77777777" w:rsidR="00690673" w:rsidRDefault="00690673" w:rsidP="00690673">
      <w:r w:rsidRPr="00414B08">
        <w:t xml:space="preserve">Ensuring the </w:t>
      </w:r>
      <w:r>
        <w:t xml:space="preserve">health and safety of residents, staff and others using the Council’s buildings is the top priority for the effective management of the corporate estate.  </w:t>
      </w:r>
    </w:p>
    <w:p w14:paraId="3A8A987C" w14:textId="77777777" w:rsidR="00690673" w:rsidRDefault="00690673" w:rsidP="00690673"/>
    <w:p w14:paraId="7208A16A" w14:textId="77777777" w:rsidR="00690673" w:rsidRPr="00414B08" w:rsidRDefault="00690673" w:rsidP="00690673">
      <w:r>
        <w:t>It is also important that management of the asset portfolio ensures compliance with legal agreements, minimises the Council’s exposure to risk as a result of environmental, social and economic change and understands and addresses the Council’s exposure to risk of all kinds including financial, legal and reputational.</w:t>
      </w:r>
    </w:p>
    <w:p w14:paraId="50254D94" w14:textId="77777777" w:rsidR="00690673" w:rsidRDefault="00690673" w:rsidP="00690673"/>
    <w:p w14:paraId="421DFA29" w14:textId="4F19363C" w:rsidR="00690673" w:rsidRDefault="00690673" w:rsidP="00690673">
      <w:r>
        <w:lastRenderedPageBreak/>
        <w:t xml:space="preserve">The </w:t>
      </w:r>
      <w:r w:rsidR="006718A6">
        <w:t xml:space="preserve">activity </w:t>
      </w:r>
      <w:r>
        <w:t xml:space="preserve">in this Strategy </w:t>
      </w:r>
      <w:r w:rsidR="006718A6">
        <w:t xml:space="preserve">to reinforce </w:t>
      </w:r>
      <w:r>
        <w:t>accurate information</w:t>
      </w:r>
      <w:r w:rsidR="006718A6">
        <w:t>,</w:t>
      </w:r>
      <w:r>
        <w:t xml:space="preserve"> classif</w:t>
      </w:r>
      <w:r w:rsidR="006718A6">
        <w:t xml:space="preserve">y assets </w:t>
      </w:r>
      <w:r>
        <w:t xml:space="preserve">according to their use and </w:t>
      </w:r>
      <w:r w:rsidR="006718A6">
        <w:t xml:space="preserve">ensure </w:t>
      </w:r>
      <w:r>
        <w:t xml:space="preserve">appropriate leases are in place </w:t>
      </w:r>
      <w:r w:rsidR="006718A6">
        <w:t>will all contribute to reducing this exposure to risk.</w:t>
      </w:r>
      <w:r>
        <w:t xml:space="preserve">  The following section describes in more detail the strands of activity relevant to regulatory compliance, contracts and legal agreement, understanding other risks and quality assurance of the Council’s systems that will provide a robust and effective management of risk.</w:t>
      </w:r>
    </w:p>
    <w:p w14:paraId="001897BE" w14:textId="77777777" w:rsidR="000834B6" w:rsidRDefault="000834B6" w:rsidP="00690673"/>
    <w:p w14:paraId="1F19BB72" w14:textId="77777777" w:rsidR="00690673" w:rsidRPr="005B724A" w:rsidRDefault="00690673" w:rsidP="00690673">
      <w:r w:rsidRPr="005B724A">
        <w:t>The basis of British health and safety law is th</w:t>
      </w:r>
      <w:r>
        <w:t>e Health and Safety at Work</w:t>
      </w:r>
      <w:r w:rsidRPr="005B724A">
        <w:t xml:space="preserve"> Act 1974 (HSWA) and associated supplementary Regulations and Codes of Practice.  </w:t>
      </w:r>
      <w:r>
        <w:t>S</w:t>
      </w:r>
      <w:r w:rsidRPr="005B724A">
        <w:t>ection 3 of the Act imposes a clear duty on local authorities to conduct their undertakings in such a way as to ensure, so far as is reasonably practicable the safety of the public using premises.</w:t>
      </w:r>
    </w:p>
    <w:p w14:paraId="3938B74B" w14:textId="77777777" w:rsidR="00690673" w:rsidRPr="005B724A" w:rsidRDefault="00690673" w:rsidP="00690673"/>
    <w:p w14:paraId="4FDC7889" w14:textId="77777777" w:rsidR="00690673" w:rsidRPr="005B724A" w:rsidRDefault="00690673" w:rsidP="00690673">
      <w:r>
        <w:t xml:space="preserve">The primary </w:t>
      </w:r>
      <w:r w:rsidRPr="005B724A">
        <w:t>statutory instruments</w:t>
      </w:r>
      <w:r>
        <w:t xml:space="preserve"> driving statutory compliance for property assets are:</w:t>
      </w:r>
    </w:p>
    <w:p w14:paraId="5808F3C3" w14:textId="77777777" w:rsidR="00690673" w:rsidRPr="005B724A" w:rsidRDefault="00690673" w:rsidP="00C1048E">
      <w:pPr>
        <w:pStyle w:val="ListParagraph"/>
        <w:numPr>
          <w:ilvl w:val="0"/>
          <w:numId w:val="14"/>
        </w:numPr>
      </w:pPr>
      <w:r w:rsidRPr="005B724A">
        <w:t>The Health &amp; Safety at Work etc. Act 1974</w:t>
      </w:r>
    </w:p>
    <w:p w14:paraId="6A7C716E" w14:textId="77777777" w:rsidR="00690673" w:rsidRPr="005B724A" w:rsidRDefault="00690673" w:rsidP="00C1048E">
      <w:pPr>
        <w:pStyle w:val="ListParagraph"/>
        <w:numPr>
          <w:ilvl w:val="0"/>
          <w:numId w:val="14"/>
        </w:numPr>
      </w:pPr>
      <w:r w:rsidRPr="005B724A">
        <w:t>Managing Health &amp; Safety at Work Regulation 1999</w:t>
      </w:r>
    </w:p>
    <w:p w14:paraId="431870E3" w14:textId="77777777" w:rsidR="00690673" w:rsidRPr="005B724A" w:rsidRDefault="00690673" w:rsidP="00C1048E">
      <w:pPr>
        <w:pStyle w:val="ListParagraph"/>
        <w:numPr>
          <w:ilvl w:val="0"/>
          <w:numId w:val="14"/>
        </w:numPr>
      </w:pPr>
      <w:r w:rsidRPr="005B724A">
        <w:t>The Regulatory Reform (Fire Safety) Order 2005</w:t>
      </w:r>
    </w:p>
    <w:p w14:paraId="1BAF8BD5" w14:textId="77777777" w:rsidR="00690673" w:rsidRPr="005B724A" w:rsidRDefault="00690673" w:rsidP="00C1048E">
      <w:pPr>
        <w:pStyle w:val="ListParagraph"/>
        <w:numPr>
          <w:ilvl w:val="0"/>
          <w:numId w:val="14"/>
        </w:numPr>
      </w:pPr>
      <w:r w:rsidRPr="005B724A">
        <w:t>The Building Regulations 2000 (as amended)</w:t>
      </w:r>
    </w:p>
    <w:p w14:paraId="38943C47" w14:textId="77777777" w:rsidR="00690673" w:rsidRPr="005B724A" w:rsidRDefault="00690673" w:rsidP="00C1048E">
      <w:pPr>
        <w:pStyle w:val="ListParagraph"/>
        <w:numPr>
          <w:ilvl w:val="0"/>
          <w:numId w:val="14"/>
        </w:numPr>
      </w:pPr>
      <w:r w:rsidRPr="005B724A">
        <w:t>The Control of Substances Hazardous to Health COSHH Regulations 2002 &amp; Amendment 2003</w:t>
      </w:r>
    </w:p>
    <w:p w14:paraId="29D937BA" w14:textId="77777777" w:rsidR="00690673" w:rsidRPr="005B724A" w:rsidRDefault="00690673" w:rsidP="00C1048E">
      <w:pPr>
        <w:pStyle w:val="ListParagraph"/>
        <w:numPr>
          <w:ilvl w:val="0"/>
          <w:numId w:val="14"/>
        </w:numPr>
      </w:pPr>
      <w:r w:rsidRPr="005B724A">
        <w:t xml:space="preserve">The Control of Asbestos Regulation2012 </w:t>
      </w:r>
    </w:p>
    <w:p w14:paraId="0D3B9C70" w14:textId="77777777" w:rsidR="00690673" w:rsidRPr="005B724A" w:rsidRDefault="00690673" w:rsidP="00C1048E">
      <w:pPr>
        <w:pStyle w:val="ListParagraph"/>
        <w:numPr>
          <w:ilvl w:val="0"/>
          <w:numId w:val="14"/>
        </w:numPr>
      </w:pPr>
      <w:r>
        <w:t xml:space="preserve">The Health and Safety Executive </w:t>
      </w:r>
      <w:r w:rsidRPr="005B724A">
        <w:t>A</w:t>
      </w:r>
      <w:r>
        <w:t xml:space="preserve">pproved </w:t>
      </w:r>
      <w:r w:rsidRPr="005B724A">
        <w:t>C</w:t>
      </w:r>
      <w:r>
        <w:t xml:space="preserve">ode of Practice (ACoP) </w:t>
      </w:r>
      <w:r w:rsidRPr="005B724A">
        <w:t xml:space="preserve">Guidance </w:t>
      </w:r>
      <w:r>
        <w:t xml:space="preserve">on </w:t>
      </w:r>
      <w:r w:rsidRPr="005B724A">
        <w:t>Legionnaires Disease, the Control of Bacteria in Water Systems L8.</w:t>
      </w:r>
    </w:p>
    <w:p w14:paraId="42ED1B33" w14:textId="77777777" w:rsidR="00690673" w:rsidRPr="005B724A" w:rsidRDefault="00690673" w:rsidP="00690673"/>
    <w:p w14:paraId="1D395B4E" w14:textId="77777777" w:rsidR="00690673" w:rsidRPr="005B724A" w:rsidRDefault="00690673" w:rsidP="00690673">
      <w:r w:rsidRPr="005B724A">
        <w:t xml:space="preserve">This task has become increasingly complex </w:t>
      </w:r>
      <w:r>
        <w:t>in recent years as a result of:</w:t>
      </w:r>
    </w:p>
    <w:p w14:paraId="3C7088C4" w14:textId="77777777" w:rsidR="00690673" w:rsidRPr="005B724A" w:rsidRDefault="00690673" w:rsidP="00C1048E">
      <w:pPr>
        <w:numPr>
          <w:ilvl w:val="0"/>
          <w:numId w:val="2"/>
        </w:numPr>
      </w:pPr>
      <w:r w:rsidRPr="005B724A">
        <w:t>An increasing burden of legislative and regulatory dutie</w:t>
      </w:r>
      <w:r>
        <w:t>s falling on building occupiers</w:t>
      </w:r>
    </w:p>
    <w:p w14:paraId="443BA158" w14:textId="77777777" w:rsidR="00690673" w:rsidRPr="005B724A" w:rsidRDefault="00690673" w:rsidP="00C1048E">
      <w:pPr>
        <w:numPr>
          <w:ilvl w:val="0"/>
          <w:numId w:val="2"/>
        </w:numPr>
      </w:pPr>
      <w:r w:rsidRPr="005B724A">
        <w:t>Delegation of relevant budgets and responsibilities to individual divisions or establishments,  but with ultimate accountability still seen as resting with th</w:t>
      </w:r>
      <w:r>
        <w:t>e corporate body of the Council</w:t>
      </w:r>
    </w:p>
    <w:p w14:paraId="3EA97427" w14:textId="77777777" w:rsidR="00690673" w:rsidRPr="005B724A" w:rsidRDefault="00690673" w:rsidP="00C1048E">
      <w:pPr>
        <w:numPr>
          <w:ilvl w:val="0"/>
          <w:numId w:val="2"/>
        </w:numPr>
      </w:pPr>
      <w:r w:rsidRPr="005B724A">
        <w:t>The consequences of delegation which has brought about a significant reduction in resources retained centrally to develop and monitor com</w:t>
      </w:r>
      <w:r>
        <w:t>pliance with relevant standards</w:t>
      </w:r>
    </w:p>
    <w:p w14:paraId="05D9C514" w14:textId="77777777" w:rsidR="00690673" w:rsidRPr="005B724A" w:rsidRDefault="00690673" w:rsidP="00C1048E">
      <w:pPr>
        <w:numPr>
          <w:ilvl w:val="0"/>
          <w:numId w:val="2"/>
        </w:numPr>
      </w:pPr>
      <w:r w:rsidRPr="005B724A">
        <w:t xml:space="preserve">Loss of critical mass and control in delivery of property related services through outsourcing, budget reductions </w:t>
      </w:r>
      <w:r>
        <w:t>and fragmentation of resources</w:t>
      </w:r>
    </w:p>
    <w:p w14:paraId="0E6A39A1" w14:textId="77777777" w:rsidR="00690673" w:rsidRPr="005B724A" w:rsidRDefault="00690673" w:rsidP="00C1048E">
      <w:pPr>
        <w:numPr>
          <w:ilvl w:val="0"/>
          <w:numId w:val="2"/>
        </w:numPr>
      </w:pPr>
      <w:r>
        <w:t>Complex g</w:t>
      </w:r>
      <w:r w:rsidRPr="005B724A">
        <w:t xml:space="preserve">overnance arrangements </w:t>
      </w:r>
      <w:r>
        <w:t>as a result of s</w:t>
      </w:r>
      <w:r w:rsidRPr="005B724A">
        <w:t xml:space="preserve">hared </w:t>
      </w:r>
      <w:r>
        <w:t>s</w:t>
      </w:r>
      <w:r w:rsidRPr="005B724A">
        <w:t xml:space="preserve">ervices and </w:t>
      </w:r>
      <w:r>
        <w:t>p</w:t>
      </w:r>
      <w:r w:rsidRPr="005B724A">
        <w:t>artnering arrangements that do not fit easily with traditional l</w:t>
      </w:r>
      <w:r>
        <w:t>andlord and tenant definitions</w:t>
      </w:r>
    </w:p>
    <w:p w14:paraId="1C319328" w14:textId="77777777" w:rsidR="00690673" w:rsidRDefault="00690673" w:rsidP="00690673">
      <w:pPr>
        <w:rPr>
          <w:u w:val="single"/>
        </w:rPr>
      </w:pPr>
    </w:p>
    <w:p w14:paraId="34E72BD1" w14:textId="77777777" w:rsidR="00690673" w:rsidRPr="001A62BF" w:rsidRDefault="00690673" w:rsidP="00690673">
      <w:r>
        <w:t>T</w:t>
      </w:r>
      <w:r w:rsidRPr="001A62BF">
        <w:t xml:space="preserve">here has </w:t>
      </w:r>
      <w:r>
        <w:t xml:space="preserve">in addition </w:t>
      </w:r>
      <w:r w:rsidRPr="001A62BF">
        <w:t xml:space="preserve">been an unknown level of risk associated with some sites within the commercial and </w:t>
      </w:r>
      <w:r>
        <w:t xml:space="preserve">‘unclassified’ </w:t>
      </w:r>
      <w:r w:rsidRPr="001A62BF">
        <w:t xml:space="preserve">estates due to a lack of clarity about the terms of occupation and lack of robust data. </w:t>
      </w:r>
    </w:p>
    <w:p w14:paraId="2388B2F1" w14:textId="77777777" w:rsidR="00690673" w:rsidRDefault="00690673" w:rsidP="00690673"/>
    <w:p w14:paraId="4E457C00" w14:textId="51838E14" w:rsidR="00690673" w:rsidRPr="005B724A" w:rsidRDefault="00690673" w:rsidP="00690673">
      <w:pPr>
        <w:rPr>
          <w:b/>
        </w:rPr>
      </w:pPr>
      <w:r w:rsidRPr="005B724A">
        <w:t xml:space="preserve">To meet this challenge the aim is to ensure that all </w:t>
      </w:r>
      <w:r>
        <w:t>Council-</w:t>
      </w:r>
      <w:r w:rsidRPr="005B724A">
        <w:t>owned properties have risk assessments</w:t>
      </w:r>
      <w:r>
        <w:t xml:space="preserve"> for statutory compliance,</w:t>
      </w:r>
      <w:r w:rsidRPr="005B724A">
        <w:t xml:space="preserve"> and </w:t>
      </w:r>
      <w:r>
        <w:t xml:space="preserve">where relevant </w:t>
      </w:r>
      <w:r w:rsidRPr="005B724A">
        <w:t>an identified program of recommended remedial works</w:t>
      </w:r>
      <w:r>
        <w:t xml:space="preserve"> is agreed and resourced</w:t>
      </w:r>
      <w:r w:rsidRPr="005B724A">
        <w:t xml:space="preserve">. </w:t>
      </w:r>
      <w:r>
        <w:t xml:space="preserve"> </w:t>
      </w:r>
    </w:p>
    <w:p w14:paraId="5AB2EB88" w14:textId="77777777" w:rsidR="00690673" w:rsidRPr="005B724A" w:rsidRDefault="00690673" w:rsidP="00690673">
      <w:pPr>
        <w:rPr>
          <w:b/>
        </w:rPr>
      </w:pPr>
    </w:p>
    <w:p w14:paraId="1D02B0F3" w14:textId="77777777" w:rsidR="00690673" w:rsidRPr="005B724A" w:rsidRDefault="00690673" w:rsidP="00690673">
      <w:r>
        <w:t>T</w:t>
      </w:r>
      <w:r w:rsidRPr="005B724A">
        <w:t>he technical information obtained from this exercise will enable better asset investment decision-making going forward and assist with ensuring that the council’s asset base is statutorily compliant. To monitor the performance on statutory compliance, the Council has identified a key performance indicator for the service is to achieve 100% compliance of statutory, planned preventative maintenance activities carried out within 72 hours of scheduled / agreed date.</w:t>
      </w:r>
    </w:p>
    <w:p w14:paraId="0B4B2D60" w14:textId="77777777" w:rsidR="00690673" w:rsidRPr="005B724A" w:rsidRDefault="00690673" w:rsidP="00690673"/>
    <w:p w14:paraId="5E188035" w14:textId="0596D30F" w:rsidR="00690673" w:rsidRPr="000834B6" w:rsidRDefault="000834B6" w:rsidP="00690673">
      <w:pPr>
        <w:rPr>
          <w:b/>
        </w:rPr>
      </w:pPr>
      <w:r w:rsidRPr="000834B6">
        <w:rPr>
          <w:b/>
        </w:rPr>
        <w:t>3.4.1</w:t>
      </w:r>
      <w:r w:rsidRPr="000834B6">
        <w:rPr>
          <w:b/>
        </w:rPr>
        <w:tab/>
      </w:r>
      <w:r w:rsidR="00690673" w:rsidRPr="000834B6">
        <w:rPr>
          <w:b/>
        </w:rPr>
        <w:t>Fire Safety Policy and Management Plan</w:t>
      </w:r>
    </w:p>
    <w:p w14:paraId="6CFB6444" w14:textId="77777777" w:rsidR="00690673" w:rsidRPr="005B724A" w:rsidRDefault="00690673" w:rsidP="00690673">
      <w:pPr>
        <w:rPr>
          <w:b/>
          <w:bCs/>
        </w:rPr>
      </w:pPr>
    </w:p>
    <w:p w14:paraId="03427DF1" w14:textId="77777777" w:rsidR="00690673" w:rsidRPr="005B724A" w:rsidRDefault="00690673" w:rsidP="00C1048E">
      <w:pPr>
        <w:pStyle w:val="ListParagraph"/>
        <w:numPr>
          <w:ilvl w:val="0"/>
          <w:numId w:val="9"/>
        </w:numPr>
      </w:pPr>
      <w:r w:rsidRPr="005B724A">
        <w:t>The fire safety policy and management plan was placed on the Council’s intranet site in July 2008 and is available to all Lewisham staff</w:t>
      </w:r>
    </w:p>
    <w:p w14:paraId="28E63622" w14:textId="77777777" w:rsidR="00690673" w:rsidRPr="005B724A" w:rsidRDefault="00690673" w:rsidP="00C1048E">
      <w:pPr>
        <w:pStyle w:val="ListParagraph"/>
        <w:numPr>
          <w:ilvl w:val="0"/>
          <w:numId w:val="9"/>
        </w:numPr>
      </w:pPr>
      <w:r w:rsidRPr="005B724A">
        <w:t>Information on how to access the fire safety risk assessments and register was made available to all Heads of Service at a training session in July 2008</w:t>
      </w:r>
    </w:p>
    <w:p w14:paraId="22B776F2" w14:textId="77777777" w:rsidR="00690673" w:rsidRPr="005B724A" w:rsidRDefault="00690673" w:rsidP="00C1048E">
      <w:pPr>
        <w:pStyle w:val="ListParagraph"/>
        <w:numPr>
          <w:ilvl w:val="0"/>
          <w:numId w:val="9"/>
        </w:numPr>
      </w:pPr>
      <w:r w:rsidRPr="005B724A">
        <w:t>Information on how to access the fire safety policy and management plan and the fire safety risk assessments and register is included in all Directorate’s Occupational Health and Safety Manuals</w:t>
      </w:r>
    </w:p>
    <w:p w14:paraId="735ADC0E" w14:textId="77777777" w:rsidR="00690673" w:rsidRPr="005B724A" w:rsidRDefault="00690673" w:rsidP="00C1048E">
      <w:pPr>
        <w:pStyle w:val="ListParagraph"/>
        <w:numPr>
          <w:ilvl w:val="0"/>
          <w:numId w:val="9"/>
        </w:numPr>
      </w:pPr>
      <w:r w:rsidRPr="005B724A">
        <w:lastRenderedPageBreak/>
        <w:t>A copy of the fire safety policy and management plan is provided to all consultants and contractors commissioned by Corporate Asset Services prior to commencement of any works / co</w:t>
      </w:r>
      <w:r>
        <w:t>ntracts on the corporate estate</w:t>
      </w:r>
    </w:p>
    <w:p w14:paraId="7FB9037D" w14:textId="77777777" w:rsidR="00690673" w:rsidRPr="005B724A" w:rsidRDefault="00690673" w:rsidP="00C1048E">
      <w:pPr>
        <w:pStyle w:val="ListParagraph"/>
        <w:numPr>
          <w:ilvl w:val="0"/>
          <w:numId w:val="9"/>
        </w:numPr>
      </w:pPr>
      <w:r w:rsidRPr="005B724A">
        <w:t>Access to the fire safety risk assessments and register is provided to all contractors prior to carrying any works / contra</w:t>
      </w:r>
      <w:r>
        <w:t>cts out on the corporate estate</w:t>
      </w:r>
    </w:p>
    <w:p w14:paraId="77C7BCBB" w14:textId="77777777" w:rsidR="00690673" w:rsidRPr="005B724A" w:rsidRDefault="00690673" w:rsidP="00C1048E">
      <w:pPr>
        <w:pStyle w:val="ListParagraph"/>
        <w:numPr>
          <w:ilvl w:val="0"/>
          <w:numId w:val="9"/>
        </w:numPr>
      </w:pPr>
      <w:r w:rsidRPr="005B724A">
        <w:t>The adequacy of the Policy and Management Plan is currently satisfactory and will be reviewed regularly by both Graham Environmental Services and representatives of Lewisham Council</w:t>
      </w:r>
    </w:p>
    <w:p w14:paraId="44A0488C" w14:textId="77777777" w:rsidR="00690673" w:rsidRDefault="00690673" w:rsidP="00690673"/>
    <w:p w14:paraId="540BEB04" w14:textId="77777777" w:rsidR="00690673" w:rsidRPr="009862B0" w:rsidRDefault="00690673" w:rsidP="00690673">
      <w:r w:rsidRPr="009862B0">
        <w:t>All Catford Complex Buildings (1a Eros Hse, Civic Suite, Laurence Hse and Town Hall Chambers), have weekly fire alarm testing, which are logged into Fire Log Book.  A minimum of two full building evacuations are carried out each year which are logged in Fire Log Book.</w:t>
      </w:r>
    </w:p>
    <w:p w14:paraId="6843CF38" w14:textId="77777777" w:rsidR="00690673" w:rsidRPr="009862B0" w:rsidRDefault="00690673" w:rsidP="00690673">
      <w:r w:rsidRPr="009862B0">
        <w:t> </w:t>
      </w:r>
    </w:p>
    <w:p w14:paraId="0C717E39" w14:textId="77777777" w:rsidR="00690673" w:rsidRPr="009862B0" w:rsidRDefault="00690673" w:rsidP="00690673">
      <w:r w:rsidRPr="009862B0">
        <w:t>For the Corporate Estate Buildings these are monitored via the Fire Risk Assessments and Fire Management that CAS have in place.</w:t>
      </w:r>
    </w:p>
    <w:p w14:paraId="7904133D" w14:textId="77777777" w:rsidR="00690673" w:rsidRDefault="00690673" w:rsidP="00690673">
      <w:r w:rsidRPr="009862B0">
        <w:t xml:space="preserve"> </w:t>
      </w:r>
    </w:p>
    <w:p w14:paraId="2C6316C1" w14:textId="77777777" w:rsidR="00690673" w:rsidRPr="009862B0" w:rsidRDefault="00690673" w:rsidP="00690673">
      <w:r w:rsidRPr="009862B0">
        <w:t>A published Fire Policy and Management Plan is available on the Council’s intranet site.  In 2014 the Council commissioned an external company Graham Environmental Services to carry out  Fire Risk Assessments for the Corporate Estate.  The Fire Risk Assessments are available to all staff via the Council's intranet site.</w:t>
      </w:r>
    </w:p>
    <w:p w14:paraId="706CACDF" w14:textId="77777777" w:rsidR="00690673" w:rsidRPr="005B724A" w:rsidRDefault="00690673" w:rsidP="00690673"/>
    <w:p w14:paraId="323A2547" w14:textId="4D4E749D" w:rsidR="00690673" w:rsidRPr="000834B6" w:rsidRDefault="000834B6" w:rsidP="00690673">
      <w:pPr>
        <w:rPr>
          <w:b/>
        </w:rPr>
      </w:pPr>
      <w:r w:rsidRPr="000834B6">
        <w:rPr>
          <w:b/>
        </w:rPr>
        <w:t>3.4.2</w:t>
      </w:r>
      <w:r w:rsidRPr="000834B6">
        <w:rPr>
          <w:b/>
        </w:rPr>
        <w:tab/>
      </w:r>
      <w:r w:rsidR="00690673" w:rsidRPr="000834B6">
        <w:rPr>
          <w:b/>
        </w:rPr>
        <w:t>Asbestos Policy and Management Plan</w:t>
      </w:r>
    </w:p>
    <w:p w14:paraId="7BB4F0A7" w14:textId="77777777" w:rsidR="00690673" w:rsidRPr="005B724A" w:rsidRDefault="00690673" w:rsidP="00690673">
      <w:pPr>
        <w:rPr>
          <w:u w:val="single"/>
        </w:rPr>
      </w:pPr>
    </w:p>
    <w:p w14:paraId="14B4A17F" w14:textId="1F083EBE" w:rsidR="005B1E5E" w:rsidRDefault="00690673" w:rsidP="005B1E5E">
      <w:r>
        <w:t>A</w:t>
      </w:r>
      <w:r w:rsidRPr="005B724A">
        <w:t xml:space="preserve"> </w:t>
      </w:r>
      <w:r>
        <w:t xml:space="preserve">published </w:t>
      </w:r>
      <w:r w:rsidRPr="005B724A">
        <w:t>Asbestos Policy and Management Plan</w:t>
      </w:r>
      <w:r>
        <w:t xml:space="preserve"> is available </w:t>
      </w:r>
      <w:r w:rsidRPr="005B724A">
        <w:t>on the Council</w:t>
      </w:r>
      <w:r>
        <w:t>’</w:t>
      </w:r>
      <w:r w:rsidRPr="005B724A">
        <w:t>s intranet site</w:t>
      </w:r>
      <w:r w:rsidR="005B1E5E">
        <w:t xml:space="preserve"> and sets out the Council’s approach to fulfilling its obligations under the </w:t>
      </w:r>
      <w:r w:rsidR="005B1E5E" w:rsidRPr="005B724A">
        <w:t>Control of Asbestos Regulations 2012</w:t>
      </w:r>
      <w:r w:rsidR="005B1E5E">
        <w:t xml:space="preserve">. </w:t>
      </w:r>
      <w:r w:rsidR="005B1E5E" w:rsidRPr="005B724A">
        <w:t xml:space="preserve">The </w:t>
      </w:r>
      <w:r w:rsidR="005B1E5E">
        <w:t>Council has commissioned an external review of this Plan</w:t>
      </w:r>
      <w:r w:rsidR="005B1E5E">
        <w:t xml:space="preserve"> due to complete in 2015. </w:t>
      </w:r>
    </w:p>
    <w:p w14:paraId="1A5BCF20" w14:textId="77777777" w:rsidR="005B1E5E" w:rsidRDefault="005B1E5E" w:rsidP="005B1E5E"/>
    <w:p w14:paraId="19A3BF11" w14:textId="0C4FDEF2" w:rsidR="005B1E5E" w:rsidRDefault="005B1E5E" w:rsidP="005B1E5E">
      <w:r w:rsidRPr="005B724A">
        <w:t xml:space="preserve">The asbestos </w:t>
      </w:r>
      <w:r>
        <w:t>r</w:t>
      </w:r>
      <w:r w:rsidRPr="005B724A">
        <w:t>isk register is available to all contractors prior the commencement to works to the corporate estate.</w:t>
      </w:r>
    </w:p>
    <w:p w14:paraId="02E34871" w14:textId="77777777" w:rsidR="00B54F75" w:rsidRDefault="00B54F75" w:rsidP="00690673">
      <w:pPr>
        <w:rPr>
          <w:b/>
          <w:bCs/>
        </w:rPr>
      </w:pPr>
    </w:p>
    <w:p w14:paraId="565D119B" w14:textId="5734EE6E" w:rsidR="00690673" w:rsidRPr="000834B6" w:rsidRDefault="000834B6" w:rsidP="00690673">
      <w:pPr>
        <w:rPr>
          <w:b/>
          <w:bCs/>
        </w:rPr>
      </w:pPr>
      <w:r w:rsidRPr="000834B6">
        <w:rPr>
          <w:b/>
          <w:bCs/>
        </w:rPr>
        <w:t>3.4.3</w:t>
      </w:r>
      <w:r w:rsidRPr="000834B6">
        <w:rPr>
          <w:b/>
          <w:bCs/>
        </w:rPr>
        <w:tab/>
      </w:r>
      <w:r w:rsidR="00690673" w:rsidRPr="000834B6">
        <w:rPr>
          <w:b/>
          <w:bCs/>
        </w:rPr>
        <w:t>Water Hygiene Risk Assessment</w:t>
      </w:r>
    </w:p>
    <w:p w14:paraId="4B793E86" w14:textId="77777777" w:rsidR="00690673" w:rsidRPr="005B724A" w:rsidRDefault="00690673" w:rsidP="00690673"/>
    <w:p w14:paraId="05608502" w14:textId="77777777" w:rsidR="00690673" w:rsidRPr="005B724A" w:rsidRDefault="00690673" w:rsidP="00690673">
      <w:r w:rsidRPr="005B724A">
        <w:t xml:space="preserve">In accordance with the requirements of </w:t>
      </w:r>
      <w:r w:rsidRPr="00B21C4A">
        <w:t xml:space="preserve">The Health and Safety Executive Approved Code of Practice (ACoP) Guidance on Legionnaires Disease </w:t>
      </w:r>
      <w:r>
        <w:t>a</w:t>
      </w:r>
      <w:r w:rsidRPr="005B724A">
        <w:t>ssessment</w:t>
      </w:r>
      <w:r>
        <w:t>s</w:t>
      </w:r>
      <w:r w:rsidRPr="005B724A">
        <w:t xml:space="preserve"> </w:t>
      </w:r>
      <w:r>
        <w:t>have been undertaken to include:</w:t>
      </w:r>
    </w:p>
    <w:p w14:paraId="62DB4789" w14:textId="77777777" w:rsidR="00690673" w:rsidRPr="005B724A" w:rsidRDefault="00690673" w:rsidP="00C1048E">
      <w:pPr>
        <w:pStyle w:val="ListParagraph"/>
        <w:numPr>
          <w:ilvl w:val="0"/>
          <w:numId w:val="11"/>
        </w:numPr>
      </w:pPr>
      <w:r w:rsidRPr="005B724A">
        <w:t>Potential for water droplet formation</w:t>
      </w:r>
    </w:p>
    <w:p w14:paraId="11543A40" w14:textId="77777777" w:rsidR="00690673" w:rsidRPr="005B724A" w:rsidRDefault="00690673" w:rsidP="00C1048E">
      <w:pPr>
        <w:pStyle w:val="ListParagraph"/>
        <w:numPr>
          <w:ilvl w:val="0"/>
          <w:numId w:val="11"/>
        </w:numPr>
      </w:pPr>
      <w:r w:rsidRPr="005B724A">
        <w:t>Potential for Legionella bacteria proliferation</w:t>
      </w:r>
    </w:p>
    <w:p w14:paraId="674B56CE" w14:textId="77777777" w:rsidR="00690673" w:rsidRPr="005B724A" w:rsidRDefault="00690673" w:rsidP="00C1048E">
      <w:pPr>
        <w:pStyle w:val="ListParagraph"/>
        <w:numPr>
          <w:ilvl w:val="0"/>
          <w:numId w:val="11"/>
        </w:numPr>
      </w:pPr>
      <w:r>
        <w:t>A detailed plan of water systems</w:t>
      </w:r>
    </w:p>
    <w:p w14:paraId="504E0775" w14:textId="77777777" w:rsidR="00690673" w:rsidRPr="005B724A" w:rsidRDefault="00690673" w:rsidP="00C1048E">
      <w:pPr>
        <w:pStyle w:val="ListParagraph"/>
        <w:numPr>
          <w:ilvl w:val="0"/>
          <w:numId w:val="11"/>
        </w:numPr>
      </w:pPr>
      <w:r w:rsidRPr="005B724A">
        <w:t>De</w:t>
      </w:r>
      <w:r>
        <w:t>tails of how the water systems</w:t>
      </w:r>
      <w:r w:rsidRPr="005B724A">
        <w:t xml:space="preserve"> operate</w:t>
      </w:r>
    </w:p>
    <w:p w14:paraId="5C80FF8D" w14:textId="77777777" w:rsidR="00690673" w:rsidRPr="005B724A" w:rsidRDefault="00690673" w:rsidP="00C1048E">
      <w:pPr>
        <w:pStyle w:val="ListParagraph"/>
        <w:numPr>
          <w:ilvl w:val="0"/>
          <w:numId w:val="11"/>
        </w:numPr>
      </w:pPr>
      <w:r w:rsidRPr="005B724A">
        <w:t>The nature and the degree of risk posed by the buildings water system(s)</w:t>
      </w:r>
    </w:p>
    <w:p w14:paraId="5BD89B37" w14:textId="77777777" w:rsidR="00690673" w:rsidRPr="005B724A" w:rsidRDefault="00690673" w:rsidP="00C1048E">
      <w:pPr>
        <w:pStyle w:val="ListParagraph"/>
        <w:numPr>
          <w:ilvl w:val="0"/>
          <w:numId w:val="11"/>
        </w:numPr>
      </w:pPr>
      <w:r w:rsidRPr="005B724A">
        <w:t>Details of the remedial actions required to minimise the risk</w:t>
      </w:r>
    </w:p>
    <w:p w14:paraId="1FC76267" w14:textId="77777777" w:rsidR="00690673" w:rsidRDefault="00690673" w:rsidP="00690673">
      <w:pPr>
        <w:rPr>
          <w:u w:val="single"/>
        </w:rPr>
      </w:pPr>
    </w:p>
    <w:p w14:paraId="3F16BF97" w14:textId="77777777" w:rsidR="00690673" w:rsidRPr="00B21C4A" w:rsidRDefault="00690673" w:rsidP="00690673">
      <w:r w:rsidRPr="00B21C4A">
        <w:t xml:space="preserve">ACoP requires that there should be a written scheme for the controlling the risk from exposure </w:t>
      </w:r>
      <w:r>
        <w:t xml:space="preserve">that </w:t>
      </w:r>
      <w:r w:rsidRPr="00B21C4A">
        <w:t>should be implemented and properly managed.  The scheme should specify measures to be taken to ensure that it remains effective.  The scheme should include:</w:t>
      </w:r>
    </w:p>
    <w:p w14:paraId="66C0EA35" w14:textId="77777777" w:rsidR="00690673" w:rsidRPr="00B21C4A" w:rsidRDefault="00690673" w:rsidP="00C1048E">
      <w:pPr>
        <w:pStyle w:val="ListParagraph"/>
        <w:numPr>
          <w:ilvl w:val="0"/>
          <w:numId w:val="12"/>
        </w:numPr>
      </w:pPr>
      <w:r w:rsidRPr="00B21C4A">
        <w:t>An up to date plan showing layout of the plant or system, includi</w:t>
      </w:r>
      <w:r>
        <w:t>ng parts temporarily out of use</w:t>
      </w:r>
    </w:p>
    <w:p w14:paraId="11E5D1BE" w14:textId="77777777" w:rsidR="00690673" w:rsidRPr="00B21C4A" w:rsidRDefault="00690673" w:rsidP="00C1048E">
      <w:pPr>
        <w:pStyle w:val="ListParagraph"/>
        <w:numPr>
          <w:ilvl w:val="0"/>
          <w:numId w:val="12"/>
        </w:numPr>
      </w:pPr>
      <w:r w:rsidRPr="00B21C4A">
        <w:t>A description of the correct and safe operation of the syst</w:t>
      </w:r>
      <w:r>
        <w:t>em</w:t>
      </w:r>
    </w:p>
    <w:p w14:paraId="38AC1B60" w14:textId="77777777" w:rsidR="00690673" w:rsidRPr="00B21C4A" w:rsidRDefault="00690673" w:rsidP="00C1048E">
      <w:pPr>
        <w:pStyle w:val="ListParagraph"/>
        <w:numPr>
          <w:ilvl w:val="0"/>
          <w:numId w:val="12"/>
        </w:numPr>
      </w:pPr>
      <w:r>
        <w:t>The precautions to be taken</w:t>
      </w:r>
    </w:p>
    <w:p w14:paraId="3DA2F1F0" w14:textId="77777777" w:rsidR="00690673" w:rsidRPr="00B21C4A" w:rsidRDefault="00690673" w:rsidP="00C1048E">
      <w:pPr>
        <w:pStyle w:val="ListParagraph"/>
        <w:numPr>
          <w:ilvl w:val="0"/>
          <w:numId w:val="12"/>
        </w:numPr>
      </w:pPr>
      <w:r w:rsidRPr="00B21C4A">
        <w:t>Checks to be carried out to ensure efficacy of scheme a</w:t>
      </w:r>
      <w:r>
        <w:t>nd the frequency of such checks</w:t>
      </w:r>
    </w:p>
    <w:p w14:paraId="2F2869A4" w14:textId="77777777" w:rsidR="00690673" w:rsidRPr="00B21C4A" w:rsidRDefault="00690673" w:rsidP="00C1048E">
      <w:pPr>
        <w:pStyle w:val="ListParagraph"/>
        <w:numPr>
          <w:ilvl w:val="0"/>
          <w:numId w:val="12"/>
        </w:numPr>
      </w:pPr>
      <w:r w:rsidRPr="00B21C4A">
        <w:t>Remedial action to be taken in the event that the sche</w:t>
      </w:r>
      <w:r>
        <w:t>me is shown not to be effective</w:t>
      </w:r>
    </w:p>
    <w:p w14:paraId="3C69902B" w14:textId="77777777" w:rsidR="00690673" w:rsidRPr="00B21C4A" w:rsidRDefault="00690673" w:rsidP="00690673">
      <w:pPr>
        <w:rPr>
          <w:u w:val="single"/>
        </w:rPr>
      </w:pPr>
    </w:p>
    <w:p w14:paraId="38CCA86C" w14:textId="36E80058" w:rsidR="00690673" w:rsidRPr="000834B6" w:rsidRDefault="000834B6" w:rsidP="00690673">
      <w:pPr>
        <w:rPr>
          <w:b/>
        </w:rPr>
      </w:pPr>
      <w:r w:rsidRPr="000834B6">
        <w:rPr>
          <w:b/>
        </w:rPr>
        <w:t xml:space="preserve">3.4.4 </w:t>
      </w:r>
      <w:r w:rsidR="00431EA1">
        <w:rPr>
          <w:b/>
        </w:rPr>
        <w:t>Equalities</w:t>
      </w:r>
    </w:p>
    <w:p w14:paraId="1E66192B" w14:textId="77777777" w:rsidR="00690673" w:rsidRPr="0035064C" w:rsidRDefault="00690673" w:rsidP="00690673"/>
    <w:p w14:paraId="13730F2C" w14:textId="77777777" w:rsidR="00431EA1" w:rsidRPr="00431EA1" w:rsidRDefault="00431EA1" w:rsidP="00431EA1">
      <w:r w:rsidRPr="00431EA1">
        <w:t>The Equality Act 2010 became law in October 2010.  The Act aims to streamline all previous anti-discrimination laws within a Single Act.  The new public sector Equality Duty, which is part of the Equality Act 2010, came into effect on the 5 April 2011.</w:t>
      </w:r>
    </w:p>
    <w:p w14:paraId="4019C295" w14:textId="77777777" w:rsidR="00431EA1" w:rsidRPr="00431EA1" w:rsidRDefault="00431EA1" w:rsidP="00431EA1"/>
    <w:p w14:paraId="153C5041" w14:textId="3BB0978B" w:rsidR="00431EA1" w:rsidRPr="00431EA1" w:rsidRDefault="00431EA1" w:rsidP="00431EA1">
      <w:r w:rsidRPr="00431EA1">
        <w:lastRenderedPageBreak/>
        <w:t xml:space="preserve">Lewisham's Comprehensive Equality Scheme (CES) for 2012-16 provides an overarching framework and focus for the Council's work on equalities and helps ensure compliance with the Equality Act 2010. </w:t>
      </w:r>
      <w:r>
        <w:t xml:space="preserve"> </w:t>
      </w:r>
      <w:r w:rsidRPr="00431EA1">
        <w:t xml:space="preserve">The CES 2012-16 describes the Council's commitment to equality for all citizens, service users and employees. The CES is underpinned by a set of high level strategic objectives which incorporate the requirements of the Equality Act 2010 and the Public Sector Equality Duty. </w:t>
      </w:r>
      <w:r>
        <w:t xml:space="preserve"> </w:t>
      </w:r>
      <w:r w:rsidRPr="00431EA1">
        <w:t>The</w:t>
      </w:r>
      <w:r>
        <w:t xml:space="preserve">se </w:t>
      </w:r>
      <w:r w:rsidRPr="00431EA1">
        <w:t>objectives include:</w:t>
      </w:r>
    </w:p>
    <w:p w14:paraId="45DF8A01" w14:textId="77777777" w:rsidR="00431EA1" w:rsidRPr="00431EA1" w:rsidRDefault="00431EA1" w:rsidP="00C1048E">
      <w:pPr>
        <w:numPr>
          <w:ilvl w:val="0"/>
          <w:numId w:val="52"/>
        </w:numPr>
      </w:pPr>
      <w:r w:rsidRPr="00431EA1">
        <w:t>Improve access to services;</w:t>
      </w:r>
    </w:p>
    <w:p w14:paraId="2BBE31A4" w14:textId="5C205BDA" w:rsidR="00431EA1" w:rsidRPr="00431EA1" w:rsidRDefault="00431EA1" w:rsidP="00C1048E">
      <w:pPr>
        <w:numPr>
          <w:ilvl w:val="0"/>
          <w:numId w:val="51"/>
        </w:numPr>
      </w:pPr>
      <w:r>
        <w:t>T</w:t>
      </w:r>
      <w:r w:rsidRPr="00431EA1">
        <w:t xml:space="preserve">ake reasonable steps to ensure that services are inclusive; responsive to risk; physically accessible and provided through the most efficient and effective channels available; </w:t>
      </w:r>
    </w:p>
    <w:p w14:paraId="3A831BEC" w14:textId="5D5E72B3" w:rsidR="00431EA1" w:rsidRPr="00431EA1" w:rsidRDefault="00431EA1" w:rsidP="00C1048E">
      <w:pPr>
        <w:numPr>
          <w:ilvl w:val="0"/>
          <w:numId w:val="51"/>
        </w:numPr>
      </w:pPr>
      <w:r>
        <w:t>C</w:t>
      </w:r>
      <w:r w:rsidRPr="00431EA1">
        <w:t>lose the gap in outcomes for citizens;</w:t>
      </w:r>
    </w:p>
    <w:p w14:paraId="52D3012E" w14:textId="780B9F4B" w:rsidR="00431EA1" w:rsidRPr="00431EA1" w:rsidRDefault="00431EA1" w:rsidP="00C1048E">
      <w:pPr>
        <w:numPr>
          <w:ilvl w:val="0"/>
          <w:numId w:val="51"/>
        </w:numPr>
      </w:pPr>
      <w:r>
        <w:t>T</w:t>
      </w:r>
      <w:r w:rsidRPr="00431EA1">
        <w:t xml:space="preserve">ake reasonable steps to improve life chances for citizens by reducing outcome gaps that may exist within the borough as well as those that may exist between the borough and elsewhere </w:t>
      </w:r>
    </w:p>
    <w:p w14:paraId="03E11064" w14:textId="77777777" w:rsidR="00431EA1" w:rsidRPr="00431EA1" w:rsidRDefault="00431EA1" w:rsidP="00431EA1"/>
    <w:p w14:paraId="3613A5B2" w14:textId="78D81C2E" w:rsidR="00EE1A36" w:rsidRDefault="00EE1A36" w:rsidP="00690673">
      <w:r>
        <w:t xml:space="preserve">Management and investment in the Council’s operational estate has the potential to make a significant difference to opening up access to services and enabling service delivery to become more inclusive and physically accessible as well as responsive to risk. </w:t>
      </w:r>
    </w:p>
    <w:p w14:paraId="73D56E21" w14:textId="77777777" w:rsidR="00EE1A36" w:rsidRDefault="00EE1A36" w:rsidP="00EE1A36"/>
    <w:p w14:paraId="6885E600" w14:textId="77777777" w:rsidR="00EE1A36" w:rsidRPr="00AF264B" w:rsidRDefault="00EE1A36" w:rsidP="00EE1A36">
      <w:r w:rsidRPr="00AF264B">
        <w:t xml:space="preserve">The Council has a programme in place to carry out audits on corporate operational buildings to identify and address the requirements of the Equality Act 2010 Disability Discrimination Act (DDA) 1995 and 2005.  </w:t>
      </w:r>
    </w:p>
    <w:p w14:paraId="5F0A68AE" w14:textId="77777777" w:rsidR="00EE1A36" w:rsidRPr="00AF264B" w:rsidRDefault="00EE1A36" w:rsidP="00690673"/>
    <w:p w14:paraId="065D3EE0" w14:textId="77777777" w:rsidR="00690673" w:rsidRPr="00AF264B" w:rsidRDefault="00690673" w:rsidP="00690673">
      <w:r w:rsidRPr="00AF264B">
        <w:t>The audits include recommendations for required remedial actions and ongoing monitoring and control measures.  Guidance is also referred to such as BS8300: 2009 - Design of Buildings and Their Approach to Meet the Needs of Disabled People - Code of Practice; along with other sources where applicable.   </w:t>
      </w:r>
    </w:p>
    <w:p w14:paraId="4241C010" w14:textId="77777777" w:rsidR="00690673" w:rsidRPr="00AF264B" w:rsidRDefault="00690673" w:rsidP="00690673"/>
    <w:p w14:paraId="6F71F17D" w14:textId="7C29937E" w:rsidR="00690673" w:rsidRPr="00AF264B" w:rsidRDefault="00690673" w:rsidP="00690673">
      <w:r w:rsidRPr="00AF264B">
        <w:t xml:space="preserve">Audits have been prioritised based on sites with significant public use (libraries) and where known issues exist (Civic Suite).  In 2014 8 audits were completed. The audit reports identify actions broken down into three categories Priority A, B &amp; C.  Completing priority A actions means the site is compliant with DDA requirements.  All priority A actions from the audits held in 2014 have been completed.  </w:t>
      </w:r>
    </w:p>
    <w:p w14:paraId="014A33C9" w14:textId="77777777" w:rsidR="00690673" w:rsidRDefault="00690673" w:rsidP="00690673">
      <w:r w:rsidRPr="0035064C">
        <w:t> </w:t>
      </w:r>
    </w:p>
    <w:p w14:paraId="4119D4D5" w14:textId="1B6ED2BA" w:rsidR="00B54F75" w:rsidRPr="003065AB" w:rsidRDefault="00EE1A36" w:rsidP="00690673">
      <w:r>
        <w:t>Accessibility and compliance with the DDA will be an integrated part of the work to optimise and invest in the corporate operational estate.</w:t>
      </w:r>
    </w:p>
    <w:p w14:paraId="1C1B8AA2" w14:textId="77777777" w:rsidR="00B54F75" w:rsidRDefault="00B54F75" w:rsidP="00690673">
      <w:pPr>
        <w:rPr>
          <w:b/>
        </w:rPr>
      </w:pPr>
    </w:p>
    <w:p w14:paraId="77806C24" w14:textId="4FE23BF6" w:rsidR="00690673" w:rsidRPr="000834B6" w:rsidRDefault="000834B6" w:rsidP="00690673">
      <w:pPr>
        <w:rPr>
          <w:b/>
        </w:rPr>
      </w:pPr>
      <w:r w:rsidRPr="000834B6">
        <w:rPr>
          <w:b/>
        </w:rPr>
        <w:t xml:space="preserve">3.4.5 </w:t>
      </w:r>
      <w:r w:rsidR="00690673" w:rsidRPr="000834B6">
        <w:rPr>
          <w:b/>
        </w:rPr>
        <w:t>Energy Performance Certificates</w:t>
      </w:r>
    </w:p>
    <w:p w14:paraId="6244051D" w14:textId="77777777" w:rsidR="00690673" w:rsidRDefault="00690673" w:rsidP="00690673"/>
    <w:p w14:paraId="63674B52" w14:textId="14C19A2A" w:rsidR="00690673" w:rsidRPr="00414B08" w:rsidRDefault="00690673" w:rsidP="00690673">
      <w:pPr>
        <w:rPr>
          <w:b/>
        </w:rPr>
      </w:pPr>
      <w:r w:rsidRPr="00414B08">
        <w:t xml:space="preserve">From April 2018, proposed legislative changes would make it unlawful to let residential or commercial properties with an Energy Performance Certificate (EPC) Rating of F or G (i.e. the lowest 2 grades of energy efficiency). Assets that fail this standard need to be identified now and this information fed into investment decision-making. </w:t>
      </w:r>
      <w:r>
        <w:t xml:space="preserve"> </w:t>
      </w:r>
    </w:p>
    <w:p w14:paraId="67953D8D" w14:textId="77777777" w:rsidR="00690673" w:rsidRPr="0035064C" w:rsidRDefault="00690673" w:rsidP="00690673"/>
    <w:p w14:paraId="16B164BD" w14:textId="409E9C12" w:rsidR="00690673" w:rsidRPr="000834B6" w:rsidRDefault="000834B6" w:rsidP="00690673">
      <w:pPr>
        <w:rPr>
          <w:b/>
        </w:rPr>
      </w:pPr>
      <w:r w:rsidRPr="000834B6">
        <w:rPr>
          <w:b/>
        </w:rPr>
        <w:t>3.4.6</w:t>
      </w:r>
      <w:r w:rsidRPr="000834B6">
        <w:rPr>
          <w:b/>
        </w:rPr>
        <w:tab/>
      </w:r>
      <w:r w:rsidR="00690673" w:rsidRPr="000834B6">
        <w:rPr>
          <w:b/>
        </w:rPr>
        <w:t>Staff</w:t>
      </w:r>
    </w:p>
    <w:p w14:paraId="2E725B6A" w14:textId="77777777" w:rsidR="00690673" w:rsidRPr="0035064C" w:rsidRDefault="00690673" w:rsidP="00690673">
      <w:pPr>
        <w:rPr>
          <w:u w:val="single"/>
        </w:rPr>
      </w:pPr>
    </w:p>
    <w:p w14:paraId="7429ABB0" w14:textId="4869276B" w:rsidR="00690673" w:rsidRPr="0035064C" w:rsidRDefault="00690673" w:rsidP="00690673">
      <w:r w:rsidRPr="0035064C">
        <w:t>C</w:t>
      </w:r>
      <w:r w:rsidR="000E6773">
        <w:t xml:space="preserve">orporate </w:t>
      </w:r>
      <w:r w:rsidRPr="0035064C">
        <w:t>A</w:t>
      </w:r>
      <w:r w:rsidR="000E6773">
        <w:t xml:space="preserve">sset </w:t>
      </w:r>
      <w:r w:rsidRPr="0035064C">
        <w:t>S</w:t>
      </w:r>
      <w:r w:rsidR="000E6773">
        <w:t xml:space="preserve">ervices </w:t>
      </w:r>
      <w:r w:rsidRPr="0035064C">
        <w:t xml:space="preserve"> </w:t>
      </w:r>
      <w:r w:rsidR="000E6773">
        <w:t xml:space="preserve">has </w:t>
      </w:r>
      <w:r w:rsidRPr="0035064C">
        <w:t>the following health and safety procedures for staff:</w:t>
      </w:r>
    </w:p>
    <w:p w14:paraId="7DAC6DA4" w14:textId="77777777" w:rsidR="00690673" w:rsidRPr="0035064C" w:rsidRDefault="00690673" w:rsidP="00C1048E">
      <w:pPr>
        <w:pStyle w:val="ListParagraph"/>
        <w:numPr>
          <w:ilvl w:val="0"/>
          <w:numId w:val="42"/>
        </w:numPr>
      </w:pPr>
      <w:r>
        <w:t xml:space="preserve">Overall </w:t>
      </w:r>
      <w:r w:rsidRPr="0035064C">
        <w:t>Policy Document</w:t>
      </w:r>
    </w:p>
    <w:p w14:paraId="5AF727FC" w14:textId="77777777" w:rsidR="00690673" w:rsidRPr="0035064C" w:rsidRDefault="00690673" w:rsidP="00C1048E">
      <w:pPr>
        <w:pStyle w:val="ListParagraph"/>
        <w:numPr>
          <w:ilvl w:val="0"/>
          <w:numId w:val="42"/>
        </w:numPr>
      </w:pPr>
      <w:r w:rsidRPr="0035064C">
        <w:t>H &amp; S Aims and Objectives</w:t>
      </w:r>
    </w:p>
    <w:p w14:paraId="7D96C4C5" w14:textId="031CA008" w:rsidR="00690673" w:rsidRPr="0035064C" w:rsidRDefault="00690673" w:rsidP="00C1048E">
      <w:pPr>
        <w:pStyle w:val="ListParagraph"/>
        <w:numPr>
          <w:ilvl w:val="0"/>
          <w:numId w:val="42"/>
        </w:numPr>
      </w:pPr>
      <w:r w:rsidRPr="0035064C">
        <w:t>Accident/Incident guidelines</w:t>
      </w:r>
      <w:r w:rsidR="000E6773">
        <w:t xml:space="preserve"> and</w:t>
      </w:r>
      <w:r w:rsidRPr="0035064C">
        <w:t xml:space="preserve"> investigation guidelines</w:t>
      </w:r>
    </w:p>
    <w:p w14:paraId="1C07B86C" w14:textId="77777777" w:rsidR="00690673" w:rsidRPr="0035064C" w:rsidRDefault="00690673" w:rsidP="00C1048E">
      <w:pPr>
        <w:pStyle w:val="ListParagraph"/>
        <w:numPr>
          <w:ilvl w:val="0"/>
          <w:numId w:val="42"/>
        </w:numPr>
      </w:pPr>
      <w:r w:rsidRPr="0035064C">
        <w:t>Alcohol &amp; Drugs Policy</w:t>
      </w:r>
    </w:p>
    <w:p w14:paraId="6F3ACEA3" w14:textId="77777777" w:rsidR="00690673" w:rsidRPr="0035064C" w:rsidRDefault="00690673" w:rsidP="00C1048E">
      <w:pPr>
        <w:pStyle w:val="ListParagraph"/>
        <w:numPr>
          <w:ilvl w:val="0"/>
          <w:numId w:val="42"/>
        </w:numPr>
      </w:pPr>
      <w:r w:rsidRPr="0035064C">
        <w:t>Asbestos including incident investigates management plan and implementing guidelines</w:t>
      </w:r>
    </w:p>
    <w:p w14:paraId="3E164764" w14:textId="77777777" w:rsidR="00690673" w:rsidRPr="0035064C" w:rsidRDefault="00690673" w:rsidP="00C1048E">
      <w:pPr>
        <w:pStyle w:val="ListParagraph"/>
        <w:numPr>
          <w:ilvl w:val="0"/>
          <w:numId w:val="42"/>
        </w:numPr>
      </w:pPr>
      <w:r w:rsidRPr="0035064C">
        <w:t>Confined Spaces procedures and risk assessments</w:t>
      </w:r>
    </w:p>
    <w:p w14:paraId="77BD8AB0" w14:textId="77777777" w:rsidR="00690673" w:rsidRPr="0035064C" w:rsidRDefault="00690673" w:rsidP="00C1048E">
      <w:pPr>
        <w:pStyle w:val="ListParagraph"/>
        <w:numPr>
          <w:ilvl w:val="0"/>
          <w:numId w:val="42"/>
        </w:numPr>
      </w:pPr>
      <w:r w:rsidRPr="0035064C">
        <w:t>COSHH guidelines</w:t>
      </w:r>
    </w:p>
    <w:p w14:paraId="3D7E6717" w14:textId="77777777" w:rsidR="00690673" w:rsidRPr="0035064C" w:rsidRDefault="00690673" w:rsidP="00C1048E">
      <w:pPr>
        <w:pStyle w:val="ListParagraph"/>
        <w:numPr>
          <w:ilvl w:val="0"/>
          <w:numId w:val="42"/>
        </w:numPr>
      </w:pPr>
      <w:r w:rsidRPr="0035064C">
        <w:t>Compliance checklist</w:t>
      </w:r>
    </w:p>
    <w:p w14:paraId="3545BF96" w14:textId="77777777" w:rsidR="00690673" w:rsidRPr="0035064C" w:rsidRDefault="00690673" w:rsidP="00C1048E">
      <w:pPr>
        <w:pStyle w:val="ListParagraph"/>
        <w:numPr>
          <w:ilvl w:val="0"/>
          <w:numId w:val="42"/>
        </w:numPr>
      </w:pPr>
      <w:r w:rsidRPr="0035064C">
        <w:t>Display Screen Equipment risk assessment</w:t>
      </w:r>
    </w:p>
    <w:p w14:paraId="4FD3BC5A" w14:textId="77777777" w:rsidR="00690673" w:rsidRPr="0035064C" w:rsidRDefault="00690673" w:rsidP="00C1048E">
      <w:pPr>
        <w:pStyle w:val="ListParagraph"/>
        <w:numPr>
          <w:ilvl w:val="0"/>
          <w:numId w:val="42"/>
        </w:numPr>
      </w:pPr>
      <w:r w:rsidRPr="0035064C">
        <w:t>Driving Policy</w:t>
      </w:r>
    </w:p>
    <w:p w14:paraId="08EDA0E4" w14:textId="77777777" w:rsidR="00690673" w:rsidRPr="0035064C" w:rsidRDefault="00690673" w:rsidP="00C1048E">
      <w:pPr>
        <w:pStyle w:val="ListParagraph"/>
        <w:numPr>
          <w:ilvl w:val="0"/>
          <w:numId w:val="42"/>
        </w:numPr>
      </w:pPr>
      <w:r w:rsidRPr="0035064C">
        <w:t>Employee code of conduct</w:t>
      </w:r>
    </w:p>
    <w:p w14:paraId="1F41F64A" w14:textId="77777777" w:rsidR="00690673" w:rsidRPr="0035064C" w:rsidRDefault="00690673" w:rsidP="00C1048E">
      <w:pPr>
        <w:pStyle w:val="ListParagraph"/>
        <w:numPr>
          <w:ilvl w:val="0"/>
          <w:numId w:val="42"/>
        </w:numPr>
      </w:pPr>
      <w:r w:rsidRPr="0035064C">
        <w:t>Fire including evacuations and incident investigation procedures incl mobility impaired procedures</w:t>
      </w:r>
    </w:p>
    <w:p w14:paraId="409235D9" w14:textId="77777777" w:rsidR="00690673" w:rsidRPr="0035064C" w:rsidRDefault="00690673" w:rsidP="00C1048E">
      <w:pPr>
        <w:pStyle w:val="ListParagraph"/>
        <w:numPr>
          <w:ilvl w:val="0"/>
          <w:numId w:val="42"/>
        </w:numPr>
      </w:pPr>
      <w:r w:rsidRPr="0035064C">
        <w:t>First aid risk assessments and provisions guidelines</w:t>
      </w:r>
    </w:p>
    <w:p w14:paraId="44288BD1" w14:textId="77777777" w:rsidR="00690673" w:rsidRPr="0035064C" w:rsidRDefault="00690673" w:rsidP="00C1048E">
      <w:pPr>
        <w:pStyle w:val="ListParagraph"/>
        <w:numPr>
          <w:ilvl w:val="0"/>
          <w:numId w:val="42"/>
        </w:numPr>
      </w:pPr>
      <w:r w:rsidRPr="0035064C">
        <w:lastRenderedPageBreak/>
        <w:t>Home working risk assessments</w:t>
      </w:r>
    </w:p>
    <w:p w14:paraId="62889D6D" w14:textId="77777777" w:rsidR="00690673" w:rsidRPr="0035064C" w:rsidRDefault="00690673" w:rsidP="00C1048E">
      <w:pPr>
        <w:pStyle w:val="ListParagraph"/>
        <w:numPr>
          <w:ilvl w:val="0"/>
          <w:numId w:val="42"/>
        </w:numPr>
      </w:pPr>
      <w:r w:rsidRPr="0035064C">
        <w:t>Infectious Diseases risk assessment</w:t>
      </w:r>
    </w:p>
    <w:p w14:paraId="2E0C49E5" w14:textId="77777777" w:rsidR="00690673" w:rsidRPr="0035064C" w:rsidRDefault="00690673" w:rsidP="00C1048E">
      <w:pPr>
        <w:pStyle w:val="ListParagraph"/>
        <w:numPr>
          <w:ilvl w:val="0"/>
          <w:numId w:val="42"/>
        </w:numPr>
      </w:pPr>
      <w:r w:rsidRPr="0035064C">
        <w:t>Lone Working Policy, procedures and risk assessments</w:t>
      </w:r>
    </w:p>
    <w:p w14:paraId="287BB43A" w14:textId="77777777" w:rsidR="00690673" w:rsidRPr="0035064C" w:rsidRDefault="00690673" w:rsidP="00C1048E">
      <w:pPr>
        <w:pStyle w:val="ListParagraph"/>
        <w:numPr>
          <w:ilvl w:val="0"/>
          <w:numId w:val="42"/>
        </w:numPr>
      </w:pPr>
      <w:r w:rsidRPr="0035064C">
        <w:t>Manual Handling guidelines</w:t>
      </w:r>
    </w:p>
    <w:p w14:paraId="2CBDED56" w14:textId="77777777" w:rsidR="00690673" w:rsidRPr="0035064C" w:rsidRDefault="00690673" w:rsidP="00C1048E">
      <w:pPr>
        <w:pStyle w:val="ListParagraph"/>
        <w:numPr>
          <w:ilvl w:val="0"/>
          <w:numId w:val="42"/>
        </w:numPr>
      </w:pPr>
      <w:r w:rsidRPr="0035064C">
        <w:t>Personal Protective Equipment risk assessment and guidelines</w:t>
      </w:r>
    </w:p>
    <w:p w14:paraId="0D46D509" w14:textId="77777777" w:rsidR="00690673" w:rsidRPr="0035064C" w:rsidRDefault="00690673" w:rsidP="00C1048E">
      <w:pPr>
        <w:pStyle w:val="ListParagraph"/>
        <w:numPr>
          <w:ilvl w:val="0"/>
          <w:numId w:val="42"/>
        </w:numPr>
      </w:pPr>
      <w:r w:rsidRPr="0035064C">
        <w:t>Personal Safety policy and procedures</w:t>
      </w:r>
    </w:p>
    <w:p w14:paraId="7167771C" w14:textId="77777777" w:rsidR="00690673" w:rsidRPr="0035064C" w:rsidRDefault="00690673" w:rsidP="00C1048E">
      <w:pPr>
        <w:pStyle w:val="ListParagraph"/>
        <w:numPr>
          <w:ilvl w:val="0"/>
          <w:numId w:val="42"/>
        </w:numPr>
      </w:pPr>
      <w:r w:rsidRPr="0035064C">
        <w:t>Pregnant Workers/nursing mothers risk assessments</w:t>
      </w:r>
    </w:p>
    <w:p w14:paraId="30F26F3F" w14:textId="77777777" w:rsidR="00690673" w:rsidRPr="0035064C" w:rsidRDefault="00690673" w:rsidP="00C1048E">
      <w:pPr>
        <w:pStyle w:val="ListParagraph"/>
        <w:numPr>
          <w:ilvl w:val="0"/>
          <w:numId w:val="42"/>
        </w:numPr>
      </w:pPr>
      <w:r w:rsidRPr="0035064C">
        <w:t>Staff Induction procedures</w:t>
      </w:r>
    </w:p>
    <w:p w14:paraId="5FA2A18C" w14:textId="77777777" w:rsidR="00690673" w:rsidRPr="0035064C" w:rsidRDefault="00690673" w:rsidP="00C1048E">
      <w:pPr>
        <w:pStyle w:val="ListParagraph"/>
        <w:numPr>
          <w:ilvl w:val="0"/>
          <w:numId w:val="42"/>
        </w:numPr>
      </w:pPr>
      <w:r w:rsidRPr="0035064C">
        <w:t>Stress Management risk assessments</w:t>
      </w:r>
    </w:p>
    <w:p w14:paraId="42C1CE56" w14:textId="77777777" w:rsidR="00690673" w:rsidRPr="0035064C" w:rsidRDefault="00690673" w:rsidP="00C1048E">
      <w:pPr>
        <w:pStyle w:val="ListParagraph"/>
        <w:numPr>
          <w:ilvl w:val="0"/>
          <w:numId w:val="42"/>
        </w:numPr>
      </w:pPr>
      <w:r w:rsidRPr="0035064C">
        <w:t>Violence and Aggression procedures and guidelines</w:t>
      </w:r>
    </w:p>
    <w:p w14:paraId="20159A94" w14:textId="77777777" w:rsidR="00690673" w:rsidRPr="0035064C" w:rsidRDefault="00690673" w:rsidP="00C1048E">
      <w:pPr>
        <w:pStyle w:val="ListParagraph"/>
        <w:numPr>
          <w:ilvl w:val="0"/>
          <w:numId w:val="42"/>
        </w:numPr>
      </w:pPr>
      <w:r w:rsidRPr="0035064C">
        <w:t>Working from Height guidelines</w:t>
      </w:r>
    </w:p>
    <w:p w14:paraId="77D7D15D" w14:textId="77777777" w:rsidR="00690673" w:rsidRPr="0035064C" w:rsidRDefault="00690673" w:rsidP="00C1048E">
      <w:pPr>
        <w:pStyle w:val="ListParagraph"/>
        <w:numPr>
          <w:ilvl w:val="0"/>
          <w:numId w:val="42"/>
        </w:numPr>
      </w:pPr>
      <w:r w:rsidRPr="0035064C">
        <w:t>Work place risk assessment</w:t>
      </w:r>
    </w:p>
    <w:p w14:paraId="2D87E66E" w14:textId="77777777" w:rsidR="00690673" w:rsidRDefault="00690673" w:rsidP="00690673"/>
    <w:p w14:paraId="519FD75C" w14:textId="77777777" w:rsidR="00690673" w:rsidRDefault="00690673" w:rsidP="00690673">
      <w:r>
        <w:t xml:space="preserve">These have all been circulated and developed with staff and are available through the internal staff sharepoint site. </w:t>
      </w:r>
    </w:p>
    <w:p w14:paraId="7C15D69C" w14:textId="77777777" w:rsidR="00690673" w:rsidRPr="0035064C" w:rsidRDefault="00690673" w:rsidP="00690673">
      <w:r w:rsidRPr="0035064C">
        <w:t> </w:t>
      </w:r>
    </w:p>
    <w:p w14:paraId="325E7EC8" w14:textId="0D6CBD87" w:rsidR="00690673" w:rsidRPr="000834B6" w:rsidRDefault="000834B6" w:rsidP="00690673">
      <w:pPr>
        <w:rPr>
          <w:b/>
        </w:rPr>
      </w:pPr>
      <w:r w:rsidRPr="000834B6">
        <w:rPr>
          <w:b/>
        </w:rPr>
        <w:t>3.4.7</w:t>
      </w:r>
      <w:r w:rsidRPr="000834B6">
        <w:rPr>
          <w:b/>
        </w:rPr>
        <w:tab/>
      </w:r>
      <w:r w:rsidR="00690673" w:rsidRPr="000834B6">
        <w:rPr>
          <w:b/>
        </w:rPr>
        <w:t>Third party management of assets</w:t>
      </w:r>
    </w:p>
    <w:p w14:paraId="6E328F5A" w14:textId="77777777" w:rsidR="00690673" w:rsidRDefault="00690673" w:rsidP="00690673"/>
    <w:p w14:paraId="24B26197" w14:textId="0C7B2C1D" w:rsidR="00690673" w:rsidRDefault="00970CB0" w:rsidP="00690673">
      <w:r>
        <w:t>The Council’s portfolio of assets includes sites that are directly managed by a third party.  W</w:t>
      </w:r>
      <w:r w:rsidR="00690673">
        <w:t xml:space="preserve">here </w:t>
      </w:r>
      <w:r w:rsidR="00431EA1">
        <w:t>an external organisation</w:t>
      </w:r>
      <w:r w:rsidR="00690673">
        <w:t xml:space="preserve"> ha</w:t>
      </w:r>
      <w:r w:rsidR="00431EA1">
        <w:t>s</w:t>
      </w:r>
      <w:r w:rsidR="00690673">
        <w:t xml:space="preserve"> </w:t>
      </w:r>
      <w:r w:rsidR="00431EA1">
        <w:t xml:space="preserve">operational </w:t>
      </w:r>
      <w:r w:rsidR="00690673">
        <w:t xml:space="preserve">control </w:t>
      </w:r>
      <w:r w:rsidR="00431EA1">
        <w:t xml:space="preserve">of </w:t>
      </w:r>
      <w:r w:rsidR="00690673">
        <w:t xml:space="preserve">premises </w:t>
      </w:r>
      <w:r>
        <w:t xml:space="preserve">it is essential </w:t>
      </w:r>
      <w:r w:rsidR="00690673">
        <w:t>that the Council understands and addresses the residual financial, legal and reputational risks that remain.</w:t>
      </w:r>
    </w:p>
    <w:p w14:paraId="6763EAC9" w14:textId="77777777" w:rsidR="00970CB0" w:rsidRDefault="00970CB0" w:rsidP="00690673"/>
    <w:p w14:paraId="3517D4ED" w14:textId="4CBF932A" w:rsidR="00970CB0" w:rsidRDefault="00970CB0" w:rsidP="00690673">
      <w:r>
        <w:t>The main areas where these arrangements occur are in relation to PFI contracts, agreements with some third sector organisations and agreements with South London and Maudsley (SLAM) NHS Trust.  Arrangements with SLAM will be reviewed as part of the wider asset optimisation work described above in section  3.3.1.  The work to review third sector organisations use of Council assets is identified in 3.2.3 (iii). Additional management arrnagements relating to the operation of leisure centres are described below.</w:t>
      </w:r>
    </w:p>
    <w:p w14:paraId="4F28D455" w14:textId="77777777" w:rsidR="00970CB0" w:rsidRDefault="00970CB0" w:rsidP="00690673"/>
    <w:p w14:paraId="169C3559" w14:textId="77777777" w:rsidR="00690673" w:rsidRPr="00352C9F" w:rsidRDefault="00690673" w:rsidP="00690673">
      <w:pPr>
        <w:rPr>
          <w:i/>
        </w:rPr>
      </w:pPr>
      <w:r w:rsidRPr="00352C9F">
        <w:rPr>
          <w:i/>
        </w:rPr>
        <w:t>Leisure facilities</w:t>
      </w:r>
    </w:p>
    <w:p w14:paraId="01B7445E" w14:textId="119D066D" w:rsidR="00690673" w:rsidRPr="000F64C3" w:rsidRDefault="00690673" w:rsidP="00690673">
      <w:r>
        <w:t xml:space="preserve">Investment in </w:t>
      </w:r>
      <w:r w:rsidRPr="000F64C3">
        <w:t xml:space="preserve">the borough’s leisure facilities </w:t>
      </w:r>
      <w:r>
        <w:t xml:space="preserve">includes Glass Mill the new £20m flagship leisure centre in Lewisham Town Centre that opened in June 2013, Forest Hill Pools, which opened in 2012 and the Wavelengths leisure centre in Deptford that opened in 2008. </w:t>
      </w:r>
      <w:r w:rsidRPr="000F64C3">
        <w:t xml:space="preserve"> In 2011 a 15 year contract was agreed with Fusion Lifestyle to manage, maintain and repair the buildings on full repairing lease basis. </w:t>
      </w:r>
    </w:p>
    <w:p w14:paraId="6EC683FE" w14:textId="77777777" w:rsidR="00690673" w:rsidRDefault="00690673" w:rsidP="00690673">
      <w:r w:rsidRPr="000F64C3">
        <w:t xml:space="preserve"> </w:t>
      </w:r>
    </w:p>
    <w:p w14:paraId="50C289CE" w14:textId="77777777" w:rsidR="00690673" w:rsidRPr="000F64C3" w:rsidRDefault="00690673" w:rsidP="00690673">
      <w:r w:rsidRPr="000F64C3">
        <w:t>The two main areas of risk for the Council are:</w:t>
      </w:r>
    </w:p>
    <w:p w14:paraId="522D8F35" w14:textId="77777777" w:rsidR="00690673" w:rsidRPr="000F64C3" w:rsidRDefault="00690673" w:rsidP="00C1048E">
      <w:pPr>
        <w:numPr>
          <w:ilvl w:val="0"/>
          <w:numId w:val="15"/>
        </w:numPr>
      </w:pPr>
      <w:r w:rsidRPr="000F64C3">
        <w:t xml:space="preserve">Reputational –  </w:t>
      </w:r>
      <w:r>
        <w:t>although the contract transfers responsibility for statutory compliance to the contractor any major breach would still h</w:t>
      </w:r>
      <w:r w:rsidRPr="000F64C3">
        <w:t>ave a serious reputational risk for the Co</w:t>
      </w:r>
      <w:r>
        <w:t>uncil</w:t>
      </w:r>
    </w:p>
    <w:p w14:paraId="38DBC942" w14:textId="367934C4" w:rsidR="00690673" w:rsidRPr="000F64C3" w:rsidRDefault="00690673" w:rsidP="00C1048E">
      <w:pPr>
        <w:numPr>
          <w:ilvl w:val="0"/>
          <w:numId w:val="15"/>
        </w:numPr>
      </w:pPr>
      <w:r w:rsidRPr="000F64C3">
        <w:t xml:space="preserve">Financial – </w:t>
      </w:r>
      <w:r>
        <w:t xml:space="preserve">under the contract </w:t>
      </w:r>
      <w:r w:rsidRPr="000F64C3">
        <w:t xml:space="preserve">the Council retained some risk </w:t>
      </w:r>
      <w:r w:rsidR="003065AB">
        <w:t xml:space="preserve">for </w:t>
      </w:r>
      <w:r w:rsidRPr="000F64C3">
        <w:t>utilities and maintenance</w:t>
      </w:r>
      <w:r>
        <w:t xml:space="preserve"> and therefore needs to monitor performance on maintenance and utility costs to understand and react to potential future liabilities</w:t>
      </w:r>
    </w:p>
    <w:p w14:paraId="62C4BD1F" w14:textId="77777777" w:rsidR="00690673" w:rsidRPr="000F64C3" w:rsidRDefault="00690673" w:rsidP="00690673"/>
    <w:p w14:paraId="3098276D" w14:textId="77777777" w:rsidR="00690673" w:rsidRPr="000F64C3" w:rsidRDefault="00690673" w:rsidP="00690673">
      <w:r w:rsidRPr="000F64C3">
        <w:t xml:space="preserve">The Council has committed to a level of additional technical monitoring to assess and reduce potential reputational and financial risks under the contractual arrangement. These checks will be carried out through a recognised third party provider with action plans agreed with Fusion where performance failures are identified. </w:t>
      </w:r>
      <w:r>
        <w:t xml:space="preserve"> This monitoring includes</w:t>
      </w:r>
    </w:p>
    <w:p w14:paraId="582D6048" w14:textId="31BCC6AE" w:rsidR="00690673" w:rsidRPr="000F64C3" w:rsidRDefault="0045383E" w:rsidP="00C1048E">
      <w:pPr>
        <w:numPr>
          <w:ilvl w:val="0"/>
          <w:numId w:val="16"/>
        </w:numPr>
      </w:pPr>
      <w:r>
        <w:t>A</w:t>
      </w:r>
      <w:r w:rsidR="00690673" w:rsidRPr="000F64C3">
        <w:t xml:space="preserve">sbestos </w:t>
      </w:r>
      <w:r w:rsidR="00690673">
        <w:t>register</w:t>
      </w:r>
    </w:p>
    <w:p w14:paraId="5FD38245" w14:textId="044274C0" w:rsidR="00690673" w:rsidRPr="000F64C3" w:rsidRDefault="0045383E" w:rsidP="00C1048E">
      <w:pPr>
        <w:numPr>
          <w:ilvl w:val="0"/>
          <w:numId w:val="16"/>
        </w:numPr>
      </w:pPr>
      <w:r>
        <w:t>L</w:t>
      </w:r>
      <w:r w:rsidR="00690673" w:rsidRPr="000F64C3">
        <w:t xml:space="preserve">egionella monitoring and control </w:t>
      </w:r>
    </w:p>
    <w:p w14:paraId="50398248" w14:textId="1BC08571" w:rsidR="00690673" w:rsidRPr="000F64C3" w:rsidRDefault="0045383E" w:rsidP="00C1048E">
      <w:pPr>
        <w:numPr>
          <w:ilvl w:val="0"/>
          <w:numId w:val="16"/>
        </w:numPr>
      </w:pPr>
      <w:r>
        <w:t>E</w:t>
      </w:r>
      <w:r w:rsidR="00690673" w:rsidRPr="000F64C3">
        <w:t>lectrical testing certific</w:t>
      </w:r>
      <w:r w:rsidR="00690673">
        <w:t>ates</w:t>
      </w:r>
    </w:p>
    <w:p w14:paraId="4947EF9A" w14:textId="7FBEA43E" w:rsidR="00690673" w:rsidRPr="000F64C3" w:rsidRDefault="0045383E" w:rsidP="00C1048E">
      <w:pPr>
        <w:numPr>
          <w:ilvl w:val="0"/>
          <w:numId w:val="16"/>
        </w:numPr>
      </w:pPr>
      <w:r>
        <w:t>W</w:t>
      </w:r>
      <w:r w:rsidR="00690673" w:rsidRPr="000F64C3">
        <w:t>ater quality and water hygiene records</w:t>
      </w:r>
    </w:p>
    <w:p w14:paraId="67BFD2EA" w14:textId="635DFB0A" w:rsidR="00690673" w:rsidRPr="000F64C3" w:rsidRDefault="0045383E" w:rsidP="00C1048E">
      <w:pPr>
        <w:numPr>
          <w:ilvl w:val="0"/>
          <w:numId w:val="16"/>
        </w:numPr>
      </w:pPr>
      <w:r>
        <w:t>H</w:t>
      </w:r>
      <w:r w:rsidR="00690673" w:rsidRPr="000F64C3">
        <w:t>ealth and safety</w:t>
      </w:r>
      <w:r w:rsidR="00690673">
        <w:t xml:space="preserve"> record keeping</w:t>
      </w:r>
    </w:p>
    <w:p w14:paraId="44D9E29F" w14:textId="7865ECEC" w:rsidR="000E6773" w:rsidRPr="000F64C3" w:rsidRDefault="0045383E" w:rsidP="00C1048E">
      <w:pPr>
        <w:numPr>
          <w:ilvl w:val="0"/>
          <w:numId w:val="16"/>
        </w:numPr>
      </w:pPr>
      <w:r>
        <w:t>F</w:t>
      </w:r>
      <w:r w:rsidR="00690673" w:rsidRPr="000F64C3">
        <w:t>ire risk assessments</w:t>
      </w:r>
      <w:r w:rsidR="000E6773">
        <w:t>,</w:t>
      </w:r>
      <w:r w:rsidR="000E6773" w:rsidRPr="000E6773">
        <w:t xml:space="preserve"> </w:t>
      </w:r>
      <w:r w:rsidR="000E6773" w:rsidRPr="000F64C3">
        <w:t>fire and evacuation procedures</w:t>
      </w:r>
      <w:r w:rsidR="000E6773" w:rsidRPr="000E6773">
        <w:t xml:space="preserve"> </w:t>
      </w:r>
      <w:r w:rsidR="000E6773">
        <w:t>and emergency lighting system tests</w:t>
      </w:r>
    </w:p>
    <w:p w14:paraId="141D2918" w14:textId="0A664AAB" w:rsidR="00690673" w:rsidRPr="000F64C3" w:rsidRDefault="0045383E" w:rsidP="00C1048E">
      <w:pPr>
        <w:numPr>
          <w:ilvl w:val="0"/>
          <w:numId w:val="16"/>
        </w:numPr>
      </w:pPr>
      <w:r>
        <w:t>B</w:t>
      </w:r>
      <w:r w:rsidR="00690673" w:rsidRPr="000F64C3">
        <w:t>acteriological testing of the hot and cold water systems</w:t>
      </w:r>
    </w:p>
    <w:p w14:paraId="3DBE4A72" w14:textId="0412AA65" w:rsidR="00690673" w:rsidRPr="000F64C3" w:rsidRDefault="0045383E" w:rsidP="00C1048E">
      <w:pPr>
        <w:numPr>
          <w:ilvl w:val="0"/>
          <w:numId w:val="16"/>
        </w:numPr>
      </w:pPr>
      <w:r>
        <w:t>M</w:t>
      </w:r>
      <w:r w:rsidR="00690673" w:rsidRPr="000F64C3">
        <w:t>ajor incident log</w:t>
      </w:r>
      <w:r w:rsidR="00690673">
        <w:t>s</w:t>
      </w:r>
      <w:r w:rsidR="00690673" w:rsidRPr="000F64C3">
        <w:t xml:space="preserve"> </w:t>
      </w:r>
    </w:p>
    <w:p w14:paraId="618117D1" w14:textId="68FE71F5" w:rsidR="00F90430" w:rsidRPr="003065AB" w:rsidRDefault="0045383E" w:rsidP="003065AB">
      <w:pPr>
        <w:numPr>
          <w:ilvl w:val="0"/>
          <w:numId w:val="16"/>
        </w:numPr>
        <w:spacing w:after="200" w:line="276" w:lineRule="auto"/>
        <w:rPr>
          <w:b/>
          <w:sz w:val="24"/>
          <w:szCs w:val="24"/>
        </w:rPr>
      </w:pPr>
      <w:r>
        <w:t>S</w:t>
      </w:r>
      <w:r w:rsidR="00690673">
        <w:t xml:space="preserve">ervicing and maintenance records </w:t>
      </w:r>
      <w:r w:rsidR="00F90430" w:rsidRPr="003065AB">
        <w:rPr>
          <w:b/>
          <w:sz w:val="24"/>
          <w:szCs w:val="24"/>
        </w:rPr>
        <w:br w:type="page"/>
      </w:r>
    </w:p>
    <w:p w14:paraId="253AE17D" w14:textId="10BA98B5" w:rsidR="00D942F1" w:rsidRPr="00160C74" w:rsidRDefault="00D942F1" w:rsidP="004019B8">
      <w:pPr>
        <w:rPr>
          <w:b/>
          <w:sz w:val="24"/>
          <w:szCs w:val="24"/>
        </w:rPr>
      </w:pPr>
      <w:r w:rsidRPr="00160C74">
        <w:rPr>
          <w:b/>
          <w:sz w:val="24"/>
          <w:szCs w:val="24"/>
        </w:rPr>
        <w:lastRenderedPageBreak/>
        <w:t>3.</w:t>
      </w:r>
      <w:r w:rsidR="00690673">
        <w:rPr>
          <w:b/>
          <w:sz w:val="24"/>
          <w:szCs w:val="24"/>
        </w:rPr>
        <w:t>5</w:t>
      </w:r>
      <w:r w:rsidRPr="00160C74">
        <w:rPr>
          <w:b/>
          <w:sz w:val="24"/>
          <w:szCs w:val="24"/>
        </w:rPr>
        <w:tab/>
        <w:t>Commercial estate</w:t>
      </w:r>
    </w:p>
    <w:p w14:paraId="122A7BA4" w14:textId="77777777" w:rsidR="006E56E3" w:rsidRDefault="006E56E3" w:rsidP="006E56E3">
      <w:pPr>
        <w:jc w:val="both"/>
        <w:rPr>
          <w:rFonts w:eastAsia="Times New Roman"/>
          <w:lang w:eastAsia="en-GB"/>
        </w:rPr>
      </w:pPr>
    </w:p>
    <w:p w14:paraId="12769E6C" w14:textId="4BBC3F77" w:rsidR="00EA5206" w:rsidRPr="00EA5206" w:rsidRDefault="00EA5206" w:rsidP="00EA5206">
      <w:pPr>
        <w:jc w:val="both"/>
        <w:rPr>
          <w:rFonts w:eastAsia="Times New Roman"/>
          <w:lang w:eastAsia="en-GB"/>
        </w:rPr>
      </w:pPr>
      <w:r w:rsidRPr="004005D2">
        <w:rPr>
          <w:rFonts w:eastAsia="Times New Roman"/>
          <w:lang w:eastAsia="en-GB"/>
        </w:rPr>
        <w:t xml:space="preserve">The commercial estate comprises 178 properties, comprising </w:t>
      </w:r>
      <w:r w:rsidR="00B140EA" w:rsidRPr="004005D2">
        <w:rPr>
          <w:rFonts w:eastAsia="Times New Roman"/>
          <w:lang w:eastAsia="en-GB"/>
        </w:rPr>
        <w:t>104</w:t>
      </w:r>
      <w:r w:rsidRPr="004005D2">
        <w:rPr>
          <w:rFonts w:eastAsia="Times New Roman"/>
          <w:lang w:eastAsia="en-GB"/>
        </w:rPr>
        <w:t xml:space="preserve"> retail, </w:t>
      </w:r>
      <w:r w:rsidR="00B140EA" w:rsidRPr="004005D2">
        <w:rPr>
          <w:rFonts w:eastAsia="Times New Roman"/>
          <w:lang w:eastAsia="en-GB"/>
        </w:rPr>
        <w:t>2</w:t>
      </w:r>
      <w:r w:rsidRPr="004005D2">
        <w:rPr>
          <w:rFonts w:eastAsia="Times New Roman"/>
          <w:lang w:eastAsia="en-GB"/>
        </w:rPr>
        <w:t xml:space="preserve"> industrial, </w:t>
      </w:r>
      <w:r w:rsidR="00B140EA" w:rsidRPr="004005D2">
        <w:rPr>
          <w:rFonts w:eastAsia="Times New Roman"/>
          <w:lang w:eastAsia="en-GB"/>
        </w:rPr>
        <w:t>4</w:t>
      </w:r>
      <w:r w:rsidRPr="004005D2">
        <w:rPr>
          <w:rFonts w:eastAsia="Times New Roman"/>
          <w:lang w:eastAsia="en-GB"/>
        </w:rPr>
        <w:t xml:space="preserve"> offices</w:t>
      </w:r>
      <w:r w:rsidR="00B140EA" w:rsidRPr="004005D2">
        <w:rPr>
          <w:rFonts w:eastAsia="Times New Roman"/>
          <w:lang w:eastAsia="en-GB"/>
        </w:rPr>
        <w:t>, 3 residential</w:t>
      </w:r>
      <w:r w:rsidRPr="004005D2">
        <w:rPr>
          <w:rFonts w:eastAsia="Times New Roman"/>
          <w:lang w:eastAsia="en-GB"/>
        </w:rPr>
        <w:t xml:space="preserve"> and </w:t>
      </w:r>
      <w:r w:rsidR="00B140EA" w:rsidRPr="004005D2">
        <w:rPr>
          <w:rFonts w:eastAsia="Times New Roman"/>
          <w:lang w:eastAsia="en-GB"/>
        </w:rPr>
        <w:t>65</w:t>
      </w:r>
      <w:r w:rsidRPr="004005D2">
        <w:rPr>
          <w:rFonts w:eastAsia="Times New Roman"/>
          <w:lang w:eastAsia="en-GB"/>
        </w:rPr>
        <w:t xml:space="preserve"> </w:t>
      </w:r>
      <w:r w:rsidR="00B140EA" w:rsidRPr="004005D2">
        <w:rPr>
          <w:rFonts w:eastAsia="Times New Roman"/>
          <w:lang w:eastAsia="en-GB"/>
        </w:rPr>
        <w:t>‘</w:t>
      </w:r>
      <w:r w:rsidRPr="004005D2">
        <w:rPr>
          <w:rFonts w:eastAsia="Times New Roman"/>
          <w:lang w:eastAsia="en-GB"/>
        </w:rPr>
        <w:t>other</w:t>
      </w:r>
      <w:r w:rsidR="00B140EA" w:rsidRPr="004005D2">
        <w:rPr>
          <w:rFonts w:eastAsia="Times New Roman"/>
          <w:lang w:eastAsia="en-GB"/>
        </w:rPr>
        <w:t>’,</w:t>
      </w:r>
      <w:r w:rsidRPr="004005D2">
        <w:rPr>
          <w:rFonts w:eastAsia="Times New Roman"/>
          <w:lang w:eastAsia="en-GB"/>
        </w:rPr>
        <w:t xml:space="preserve"> which comprises a wide range of asset classes to include medical, community, library, storage and nursery</w:t>
      </w:r>
      <w:r w:rsidRPr="00EA5206">
        <w:rPr>
          <w:rFonts w:eastAsia="Times New Roman"/>
          <w:lang w:eastAsia="en-GB"/>
        </w:rPr>
        <w:t xml:space="preserve"> facilities, and landholdings.  Annual rental income from the commercial estate is approx. £1.8m. </w:t>
      </w:r>
    </w:p>
    <w:p w14:paraId="6BA84B08" w14:textId="77777777" w:rsidR="00EA5206" w:rsidRPr="00EA5206" w:rsidRDefault="00EA5206" w:rsidP="00EA5206">
      <w:pPr>
        <w:jc w:val="both"/>
        <w:rPr>
          <w:rFonts w:eastAsia="Times New Roman"/>
          <w:lang w:eastAsia="en-GB"/>
        </w:rPr>
      </w:pPr>
    </w:p>
    <w:p w14:paraId="32535BC8" w14:textId="54EFE1A5" w:rsidR="00EA5206" w:rsidRPr="00EA5206" w:rsidRDefault="00D03364" w:rsidP="00EA5206">
      <w:pPr>
        <w:jc w:val="both"/>
        <w:rPr>
          <w:rFonts w:eastAsia="Times New Roman"/>
          <w:lang w:eastAsia="en-GB"/>
        </w:rPr>
      </w:pPr>
      <w:r>
        <w:rPr>
          <w:rFonts w:eastAsia="Times New Roman"/>
          <w:lang w:eastAsia="en-GB"/>
        </w:rPr>
        <w:t>Sustained pressures on the valuation service over a number of years led to</w:t>
      </w:r>
      <w:r w:rsidR="00EA5206" w:rsidRPr="00EA5206">
        <w:rPr>
          <w:rFonts w:eastAsia="Times New Roman"/>
          <w:lang w:eastAsia="en-GB"/>
        </w:rPr>
        <w:t>:</w:t>
      </w:r>
    </w:p>
    <w:p w14:paraId="42F4D475" w14:textId="77777777" w:rsidR="00EA5206" w:rsidRPr="00EA5206" w:rsidRDefault="00EA5206" w:rsidP="00C1048E">
      <w:pPr>
        <w:numPr>
          <w:ilvl w:val="0"/>
          <w:numId w:val="4"/>
        </w:numPr>
        <w:jc w:val="both"/>
        <w:rPr>
          <w:rFonts w:eastAsia="Times New Roman"/>
          <w:lang w:eastAsia="en-GB"/>
        </w:rPr>
      </w:pPr>
      <w:r w:rsidRPr="00EA5206">
        <w:rPr>
          <w:rFonts w:eastAsia="Times New Roman"/>
          <w:lang w:eastAsia="en-GB"/>
        </w:rPr>
        <w:t>A backlog of rent collection valued of approx. £2.7m.</w:t>
      </w:r>
    </w:p>
    <w:p w14:paraId="45876D50" w14:textId="77777777" w:rsidR="00EA5206" w:rsidRPr="00EA5206" w:rsidRDefault="00EA5206" w:rsidP="00C1048E">
      <w:pPr>
        <w:numPr>
          <w:ilvl w:val="0"/>
          <w:numId w:val="4"/>
        </w:numPr>
        <w:jc w:val="both"/>
        <w:rPr>
          <w:rFonts w:eastAsia="Times New Roman"/>
          <w:lang w:eastAsia="en-GB"/>
        </w:rPr>
      </w:pPr>
      <w:r w:rsidRPr="00EA5206">
        <w:rPr>
          <w:rFonts w:eastAsia="Times New Roman"/>
          <w:lang w:eastAsia="en-GB"/>
        </w:rPr>
        <w:t>A backlog of outstanding rent reviews and lease/licence expiries, representing an undervaluation of the annual rent roll of potentially £2m+.</w:t>
      </w:r>
    </w:p>
    <w:p w14:paraId="7779639C" w14:textId="77777777" w:rsidR="00EA5206" w:rsidRPr="00EA5206" w:rsidRDefault="00EA5206" w:rsidP="00C1048E">
      <w:pPr>
        <w:numPr>
          <w:ilvl w:val="0"/>
          <w:numId w:val="4"/>
        </w:numPr>
        <w:jc w:val="both"/>
        <w:rPr>
          <w:rFonts w:eastAsia="Times New Roman"/>
          <w:lang w:eastAsia="en-GB"/>
        </w:rPr>
      </w:pPr>
      <w:r w:rsidRPr="00EA5206">
        <w:rPr>
          <w:rFonts w:eastAsia="Times New Roman"/>
          <w:lang w:eastAsia="en-GB"/>
        </w:rPr>
        <w:t>A void ratio of 8.6%, substantially above the estimate market norm of 5%.</w:t>
      </w:r>
    </w:p>
    <w:p w14:paraId="06EF57CE" w14:textId="77777777" w:rsidR="00EA5206" w:rsidRPr="00EA5206" w:rsidRDefault="00EA5206" w:rsidP="00C1048E">
      <w:pPr>
        <w:numPr>
          <w:ilvl w:val="0"/>
          <w:numId w:val="4"/>
        </w:numPr>
        <w:jc w:val="both"/>
        <w:rPr>
          <w:rFonts w:eastAsia="Times New Roman"/>
          <w:lang w:eastAsia="en-GB"/>
        </w:rPr>
      </w:pPr>
      <w:r w:rsidRPr="00EA5206">
        <w:rPr>
          <w:rFonts w:eastAsia="Times New Roman"/>
          <w:lang w:eastAsia="en-GB"/>
        </w:rPr>
        <w:t>Incomplete data relating to assets and leases.</w:t>
      </w:r>
    </w:p>
    <w:p w14:paraId="27081E54" w14:textId="77777777" w:rsidR="00EA5206" w:rsidRDefault="00EA5206" w:rsidP="00EA5206">
      <w:pPr>
        <w:jc w:val="both"/>
        <w:rPr>
          <w:rFonts w:eastAsia="Times New Roman"/>
          <w:lang w:eastAsia="en-GB"/>
        </w:rPr>
      </w:pPr>
    </w:p>
    <w:p w14:paraId="624CADCD" w14:textId="62916A40" w:rsidR="00856253" w:rsidRPr="00856253" w:rsidRDefault="00856253" w:rsidP="00856253">
      <w:pPr>
        <w:jc w:val="both"/>
        <w:rPr>
          <w:rFonts w:eastAsia="Times New Roman"/>
          <w:lang w:eastAsia="en-GB"/>
        </w:rPr>
      </w:pPr>
      <w:r>
        <w:rPr>
          <w:rFonts w:eastAsia="Times New Roman"/>
          <w:lang w:eastAsia="en-GB"/>
        </w:rPr>
        <w:t>Optimisation of the Commercial portfolio is expected to generate at least £900K a year</w:t>
      </w:r>
      <w:r w:rsidR="00521732">
        <w:rPr>
          <w:rFonts w:eastAsia="Times New Roman"/>
          <w:lang w:eastAsia="en-GB"/>
        </w:rPr>
        <w:t xml:space="preserve"> additional</w:t>
      </w:r>
      <w:r>
        <w:rPr>
          <w:rFonts w:eastAsia="Times New Roman"/>
          <w:lang w:eastAsia="en-GB"/>
        </w:rPr>
        <w:t xml:space="preserve"> income by the end of 2017/18 through</w:t>
      </w:r>
      <w:r w:rsidRPr="00856253">
        <w:rPr>
          <w:rFonts w:eastAsia="Times New Roman"/>
          <w:lang w:eastAsia="en-GB"/>
        </w:rPr>
        <w:t>:</w:t>
      </w:r>
    </w:p>
    <w:p w14:paraId="034DA02B" w14:textId="6C2FF00B" w:rsidR="00856253" w:rsidRPr="00856253" w:rsidRDefault="0045383E" w:rsidP="00C1048E">
      <w:pPr>
        <w:numPr>
          <w:ilvl w:val="0"/>
          <w:numId w:val="39"/>
        </w:numPr>
        <w:ind w:left="426" w:hanging="426"/>
        <w:jc w:val="both"/>
        <w:rPr>
          <w:rFonts w:eastAsia="Times New Roman"/>
          <w:lang w:eastAsia="en-GB"/>
        </w:rPr>
      </w:pPr>
      <w:r>
        <w:rPr>
          <w:rFonts w:eastAsia="Times New Roman"/>
          <w:lang w:eastAsia="en-GB"/>
        </w:rPr>
        <w:t>C</w:t>
      </w:r>
      <w:r w:rsidR="00856253" w:rsidRPr="00856253">
        <w:rPr>
          <w:rFonts w:eastAsia="Times New Roman"/>
          <w:lang w:eastAsia="en-GB"/>
        </w:rPr>
        <w:t>orrect categorisation of properties</w:t>
      </w:r>
      <w:r w:rsidR="00856253">
        <w:rPr>
          <w:rFonts w:eastAsia="Times New Roman"/>
          <w:lang w:eastAsia="en-GB"/>
        </w:rPr>
        <w:t xml:space="preserve"> and </w:t>
      </w:r>
      <w:r w:rsidR="00856253" w:rsidRPr="00856253">
        <w:rPr>
          <w:rFonts w:eastAsia="Times New Roman"/>
          <w:lang w:eastAsia="en-GB"/>
        </w:rPr>
        <w:t>optimisation of assets</w:t>
      </w:r>
    </w:p>
    <w:p w14:paraId="50FB3169" w14:textId="45752200" w:rsidR="00856253" w:rsidRDefault="0045383E" w:rsidP="00C1048E">
      <w:pPr>
        <w:numPr>
          <w:ilvl w:val="0"/>
          <w:numId w:val="39"/>
        </w:numPr>
        <w:ind w:left="426" w:hanging="426"/>
        <w:jc w:val="both"/>
        <w:rPr>
          <w:rFonts w:eastAsia="Times New Roman"/>
          <w:lang w:eastAsia="en-GB"/>
        </w:rPr>
      </w:pPr>
      <w:r>
        <w:rPr>
          <w:rFonts w:eastAsia="Times New Roman"/>
          <w:lang w:eastAsia="en-GB"/>
        </w:rPr>
        <w:t>S</w:t>
      </w:r>
      <w:r w:rsidR="00856253" w:rsidRPr="00856253">
        <w:rPr>
          <w:rFonts w:eastAsia="Times New Roman"/>
          <w:lang w:eastAsia="en-GB"/>
        </w:rPr>
        <w:t>etting appropriate market rates for leases</w:t>
      </w:r>
    </w:p>
    <w:p w14:paraId="2F6384DA" w14:textId="08FB6B19" w:rsidR="00856253" w:rsidRDefault="00521732" w:rsidP="00C1048E">
      <w:pPr>
        <w:numPr>
          <w:ilvl w:val="0"/>
          <w:numId w:val="39"/>
        </w:numPr>
        <w:ind w:left="426" w:hanging="426"/>
        <w:jc w:val="both"/>
        <w:rPr>
          <w:rFonts w:eastAsia="Times New Roman"/>
          <w:lang w:eastAsia="en-GB"/>
        </w:rPr>
      </w:pPr>
      <w:r>
        <w:rPr>
          <w:rFonts w:eastAsia="Times New Roman"/>
          <w:lang w:eastAsia="en-GB"/>
        </w:rPr>
        <w:t xml:space="preserve">Improved </w:t>
      </w:r>
      <w:r w:rsidR="00856253">
        <w:rPr>
          <w:rFonts w:eastAsia="Times New Roman"/>
          <w:lang w:eastAsia="en-GB"/>
        </w:rPr>
        <w:t>turnaround times for vacant properties</w:t>
      </w:r>
    </w:p>
    <w:p w14:paraId="566B3AE4" w14:textId="634E3904" w:rsidR="00856253" w:rsidRPr="00856253" w:rsidRDefault="0045383E" w:rsidP="00C1048E">
      <w:pPr>
        <w:numPr>
          <w:ilvl w:val="0"/>
          <w:numId w:val="39"/>
        </w:numPr>
        <w:ind w:left="426" w:hanging="426"/>
        <w:jc w:val="both"/>
        <w:rPr>
          <w:rFonts w:eastAsia="Times New Roman"/>
          <w:lang w:eastAsia="en-GB"/>
        </w:rPr>
      </w:pPr>
      <w:r>
        <w:rPr>
          <w:rFonts w:eastAsia="Times New Roman"/>
          <w:lang w:eastAsia="en-GB"/>
        </w:rPr>
        <w:t>I</w:t>
      </w:r>
      <w:r w:rsidR="00856253" w:rsidRPr="00856253">
        <w:rPr>
          <w:rFonts w:eastAsia="Times New Roman"/>
          <w:lang w:eastAsia="en-GB"/>
        </w:rPr>
        <w:t>mproved income collection</w:t>
      </w:r>
      <w:r w:rsidR="00856253">
        <w:rPr>
          <w:rFonts w:eastAsia="Times New Roman"/>
          <w:lang w:eastAsia="en-GB"/>
        </w:rPr>
        <w:t xml:space="preserve"> and </w:t>
      </w:r>
      <w:r w:rsidR="00856253" w:rsidRPr="00856253">
        <w:rPr>
          <w:rFonts w:eastAsia="Times New Roman"/>
          <w:lang w:eastAsia="en-GB"/>
        </w:rPr>
        <w:t>debt recovery</w:t>
      </w:r>
    </w:p>
    <w:p w14:paraId="32880F34" w14:textId="77777777" w:rsidR="00856253" w:rsidRPr="00EA5206" w:rsidRDefault="00856253" w:rsidP="00EA5206">
      <w:pPr>
        <w:jc w:val="both"/>
        <w:rPr>
          <w:rFonts w:eastAsia="Times New Roman"/>
          <w:lang w:eastAsia="en-GB"/>
        </w:rPr>
      </w:pPr>
    </w:p>
    <w:p w14:paraId="7D804199" w14:textId="77777777" w:rsidR="00EA5206" w:rsidRPr="00EA5206" w:rsidRDefault="00EA5206" w:rsidP="00EA5206">
      <w:pPr>
        <w:jc w:val="both"/>
        <w:rPr>
          <w:rFonts w:eastAsia="Times New Roman"/>
          <w:lang w:eastAsia="en-GB"/>
        </w:rPr>
      </w:pPr>
      <w:r w:rsidRPr="00EA5206">
        <w:rPr>
          <w:rFonts w:eastAsia="Times New Roman"/>
          <w:lang w:eastAsia="en-GB"/>
        </w:rPr>
        <w:t>The Council’s Corporate Asset Services function has already moved to tackle these problems and ensure sufficient capacity with the right knowledge and skill sets are used to clear the backlog of cases, establish clear management information and decision-making processes and ensure appropriate agreements are in place for all commercial properties.  This section describes the outcome of this work and ambitions going forward to establish:</w:t>
      </w:r>
    </w:p>
    <w:p w14:paraId="3C61768E" w14:textId="77777777" w:rsidR="00EA5206" w:rsidRPr="00EA5206" w:rsidRDefault="00EA5206" w:rsidP="00C1048E">
      <w:pPr>
        <w:numPr>
          <w:ilvl w:val="0"/>
          <w:numId w:val="5"/>
        </w:numPr>
        <w:jc w:val="both"/>
        <w:rPr>
          <w:rFonts w:eastAsia="Times New Roman"/>
          <w:lang w:eastAsia="en-GB"/>
        </w:rPr>
      </w:pPr>
      <w:r w:rsidRPr="00EA5206">
        <w:rPr>
          <w:rFonts w:eastAsia="Times New Roman"/>
          <w:lang w:eastAsia="en-GB"/>
        </w:rPr>
        <w:t>A better balanced portfolio, more aligned to corporate service delivery priorities and a wider growth agenda for property in the borough</w:t>
      </w:r>
    </w:p>
    <w:p w14:paraId="020DF5B0" w14:textId="77777777" w:rsidR="00EA5206" w:rsidRPr="00EA5206" w:rsidRDefault="00EA5206" w:rsidP="00C1048E">
      <w:pPr>
        <w:numPr>
          <w:ilvl w:val="0"/>
          <w:numId w:val="5"/>
        </w:numPr>
        <w:jc w:val="both"/>
        <w:rPr>
          <w:rFonts w:eastAsia="Times New Roman"/>
          <w:lang w:eastAsia="en-GB"/>
        </w:rPr>
      </w:pPr>
      <w:r w:rsidRPr="00EA5206">
        <w:rPr>
          <w:rFonts w:eastAsia="Times New Roman"/>
          <w:lang w:eastAsia="en-GB"/>
        </w:rPr>
        <w:t>Increased income, based on up to date market rates, better use of properties and effective income collection and debt recovery</w:t>
      </w:r>
    </w:p>
    <w:p w14:paraId="43BDF9BF" w14:textId="77777777" w:rsidR="00EA5206" w:rsidRDefault="00EA5206" w:rsidP="006E56E3">
      <w:pPr>
        <w:jc w:val="both"/>
        <w:rPr>
          <w:rFonts w:eastAsia="Times New Roman"/>
          <w:lang w:eastAsia="en-GB"/>
        </w:rPr>
      </w:pPr>
    </w:p>
    <w:tbl>
      <w:tblPr>
        <w:tblStyle w:val="TableGrid"/>
        <w:tblW w:w="0" w:type="auto"/>
        <w:tblLook w:val="04A0" w:firstRow="1" w:lastRow="0" w:firstColumn="1" w:lastColumn="0" w:noHBand="0" w:noVBand="1"/>
      </w:tblPr>
      <w:tblGrid>
        <w:gridCol w:w="10682"/>
      </w:tblGrid>
      <w:tr w:rsidR="00A86C94" w14:paraId="51650199" w14:textId="77777777" w:rsidTr="00A86C94">
        <w:tc>
          <w:tcPr>
            <w:tcW w:w="10682" w:type="dxa"/>
            <w:shd w:val="clear" w:color="auto" w:fill="A6A6A6" w:themeFill="background1" w:themeFillShade="A6"/>
          </w:tcPr>
          <w:p w14:paraId="5F7002AD" w14:textId="69AF9DAC" w:rsidR="00A86C94" w:rsidRPr="00A00768" w:rsidRDefault="00690673" w:rsidP="00A86C94">
            <w:pPr>
              <w:jc w:val="both"/>
              <w:rPr>
                <w:rFonts w:eastAsia="Times New Roman"/>
                <w:lang w:eastAsia="en-GB"/>
              </w:rPr>
            </w:pPr>
            <w:r>
              <w:rPr>
                <w:rFonts w:eastAsia="Times New Roman"/>
                <w:b/>
                <w:highlight w:val="lightGray"/>
                <w:lang w:eastAsia="en-GB"/>
              </w:rPr>
              <w:t>3.5</w:t>
            </w:r>
            <w:r w:rsidR="00A86C94" w:rsidRPr="00963A6B">
              <w:rPr>
                <w:rFonts w:eastAsia="Times New Roman"/>
                <w:b/>
                <w:highlight w:val="lightGray"/>
                <w:lang w:eastAsia="en-GB"/>
              </w:rPr>
              <w:t>.1</w:t>
            </w:r>
            <w:r w:rsidR="00A86C94">
              <w:rPr>
                <w:rFonts w:eastAsia="Times New Roman"/>
                <w:highlight w:val="lightGray"/>
                <w:lang w:eastAsia="en-GB"/>
              </w:rPr>
              <w:tab/>
            </w:r>
            <w:r w:rsidR="00A86C94" w:rsidRPr="00A00768">
              <w:rPr>
                <w:rFonts w:eastAsia="Times New Roman"/>
                <w:highlight w:val="lightGray"/>
                <w:lang w:eastAsia="en-GB"/>
              </w:rPr>
              <w:t>A BETTER BALANCED PORTFOLIO</w:t>
            </w:r>
          </w:p>
          <w:p w14:paraId="67239CAC" w14:textId="77777777" w:rsidR="00A86C94" w:rsidRDefault="00A86C94" w:rsidP="00A86C94">
            <w:pPr>
              <w:jc w:val="both"/>
              <w:rPr>
                <w:rFonts w:eastAsia="Times New Roman"/>
                <w:i/>
                <w:highlight w:val="lightGray"/>
                <w:lang w:eastAsia="en-GB"/>
              </w:rPr>
            </w:pPr>
          </w:p>
          <w:p w14:paraId="3D0DB1A6" w14:textId="37DE612F" w:rsidR="00A86C94" w:rsidRPr="00A86C94" w:rsidRDefault="00A86C94" w:rsidP="006E56E3">
            <w:pPr>
              <w:jc w:val="both"/>
              <w:rPr>
                <w:rFonts w:eastAsia="Times New Roman"/>
                <w:i/>
                <w:highlight w:val="lightGray"/>
                <w:lang w:eastAsia="en-GB"/>
              </w:rPr>
            </w:pPr>
            <w:r w:rsidRPr="00A00768">
              <w:rPr>
                <w:rFonts w:eastAsia="Times New Roman"/>
                <w:i/>
                <w:highlight w:val="lightGray"/>
                <w:lang w:eastAsia="en-GB"/>
              </w:rPr>
              <w:t>Proactive use of the Council’s assets to drive regeneration a</w:t>
            </w:r>
            <w:r>
              <w:rPr>
                <w:rFonts w:eastAsia="Times New Roman"/>
                <w:i/>
                <w:highlight w:val="lightGray"/>
                <w:lang w:eastAsia="en-GB"/>
              </w:rPr>
              <w:t>nd create value and opportunity</w:t>
            </w:r>
          </w:p>
        </w:tc>
      </w:tr>
    </w:tbl>
    <w:p w14:paraId="5F15DBE7" w14:textId="77777777" w:rsidR="00A00768" w:rsidRDefault="00A00768" w:rsidP="00A00768">
      <w:pPr>
        <w:jc w:val="both"/>
        <w:rPr>
          <w:rFonts w:eastAsia="Times New Roman"/>
          <w:u w:val="single"/>
          <w:lang w:eastAsia="en-GB"/>
        </w:rPr>
      </w:pPr>
    </w:p>
    <w:p w14:paraId="60566F8C" w14:textId="693F539F" w:rsidR="00122F96" w:rsidRPr="00A00768" w:rsidRDefault="00E87616" w:rsidP="00122F96">
      <w:pPr>
        <w:jc w:val="both"/>
        <w:rPr>
          <w:rFonts w:eastAsia="Times New Roman"/>
          <w:u w:val="single"/>
          <w:lang w:eastAsia="en-GB"/>
        </w:rPr>
      </w:pPr>
      <w:r>
        <w:rPr>
          <w:rFonts w:eastAsia="Times New Roman"/>
          <w:u w:val="single"/>
          <w:lang w:eastAsia="en-GB"/>
        </w:rPr>
        <w:t xml:space="preserve">(i) </w:t>
      </w:r>
      <w:r w:rsidR="00122F96" w:rsidRPr="00A00768">
        <w:rPr>
          <w:rFonts w:eastAsia="Times New Roman"/>
          <w:u w:val="single"/>
          <w:lang w:eastAsia="en-GB"/>
        </w:rPr>
        <w:t>Development of underutilised commercial and housing assets</w:t>
      </w:r>
    </w:p>
    <w:p w14:paraId="6F02382E" w14:textId="77777777" w:rsidR="00122F96" w:rsidRDefault="00122F96" w:rsidP="00A00768">
      <w:pPr>
        <w:jc w:val="both"/>
        <w:rPr>
          <w:rFonts w:eastAsia="Times New Roman"/>
          <w:lang w:eastAsia="en-GB"/>
        </w:rPr>
      </w:pPr>
    </w:p>
    <w:p w14:paraId="46CDF0A3" w14:textId="6D558268" w:rsidR="00CC26B5" w:rsidRPr="004005D2" w:rsidRDefault="00CC26B5" w:rsidP="00A00768">
      <w:pPr>
        <w:jc w:val="both"/>
        <w:rPr>
          <w:rFonts w:eastAsia="Times New Roman"/>
          <w:lang w:eastAsia="en-GB"/>
        </w:rPr>
      </w:pPr>
      <w:r w:rsidRPr="004005D2">
        <w:rPr>
          <w:rFonts w:eastAsia="Times New Roman"/>
          <w:lang w:eastAsia="en-GB"/>
        </w:rPr>
        <w:t>The Council’s AMS and new data systems</w:t>
      </w:r>
      <w:r w:rsidR="00B80818" w:rsidRPr="004005D2">
        <w:rPr>
          <w:rFonts w:eastAsia="Times New Roman"/>
          <w:lang w:eastAsia="en-GB"/>
        </w:rPr>
        <w:t>,</w:t>
      </w:r>
      <w:r w:rsidRPr="004005D2">
        <w:rPr>
          <w:rFonts w:eastAsia="Times New Roman"/>
          <w:lang w:eastAsia="en-GB"/>
        </w:rPr>
        <w:t xml:space="preserve"> </w:t>
      </w:r>
      <w:r w:rsidR="00B80818" w:rsidRPr="004005D2">
        <w:rPr>
          <w:rFonts w:eastAsia="Times New Roman"/>
          <w:lang w:eastAsia="en-GB"/>
        </w:rPr>
        <w:t xml:space="preserve">see </w:t>
      </w:r>
      <w:r w:rsidRPr="004005D2">
        <w:rPr>
          <w:rFonts w:eastAsia="Times New Roman"/>
          <w:lang w:eastAsia="en-GB"/>
        </w:rPr>
        <w:t xml:space="preserve">section </w:t>
      </w:r>
      <w:r w:rsidR="00122F96" w:rsidRPr="004005D2">
        <w:rPr>
          <w:rFonts w:eastAsia="Times New Roman"/>
          <w:lang w:eastAsia="en-GB"/>
        </w:rPr>
        <w:t>3.</w:t>
      </w:r>
      <w:r w:rsidR="00E523DD" w:rsidRPr="004005D2">
        <w:rPr>
          <w:rFonts w:eastAsia="Times New Roman"/>
          <w:lang w:eastAsia="en-GB"/>
        </w:rPr>
        <w:t>2.</w:t>
      </w:r>
      <w:r w:rsidR="00297499" w:rsidRPr="004005D2">
        <w:rPr>
          <w:rFonts w:eastAsia="Times New Roman"/>
          <w:lang w:eastAsia="en-GB"/>
        </w:rPr>
        <w:t>1</w:t>
      </w:r>
      <w:r w:rsidR="00B80818" w:rsidRPr="004005D2">
        <w:rPr>
          <w:rFonts w:eastAsia="Times New Roman"/>
          <w:lang w:eastAsia="en-GB"/>
        </w:rPr>
        <w:t>,</w:t>
      </w:r>
      <w:r w:rsidR="00122F96" w:rsidRPr="004005D2">
        <w:rPr>
          <w:rFonts w:eastAsia="Times New Roman"/>
          <w:lang w:eastAsia="en-GB"/>
        </w:rPr>
        <w:t xml:space="preserve"> </w:t>
      </w:r>
      <w:r w:rsidRPr="004005D2">
        <w:rPr>
          <w:rFonts w:eastAsia="Times New Roman"/>
          <w:lang w:eastAsia="en-GB"/>
        </w:rPr>
        <w:t xml:space="preserve">will deliver an </w:t>
      </w:r>
      <w:r w:rsidR="00BC5A03" w:rsidRPr="004005D2">
        <w:rPr>
          <w:rFonts w:eastAsia="Times New Roman"/>
          <w:lang w:eastAsia="en-GB"/>
        </w:rPr>
        <w:t xml:space="preserve">ongoing </w:t>
      </w:r>
      <w:r w:rsidRPr="004005D2">
        <w:rPr>
          <w:rFonts w:eastAsia="Times New Roman"/>
          <w:lang w:eastAsia="en-GB"/>
        </w:rPr>
        <w:t>accurate and comprehensive register of commercial assets.  This provides the foundation for understanding and using the commercial portfolio to its maximum potential.</w:t>
      </w:r>
    </w:p>
    <w:p w14:paraId="48AC9776" w14:textId="77777777" w:rsidR="00CC26B5" w:rsidRPr="004005D2" w:rsidRDefault="00CC26B5" w:rsidP="00CC26B5">
      <w:pPr>
        <w:jc w:val="both"/>
        <w:rPr>
          <w:rFonts w:eastAsia="Times New Roman"/>
          <w:lang w:eastAsia="en-GB"/>
        </w:rPr>
      </w:pPr>
    </w:p>
    <w:p w14:paraId="3D32D49C" w14:textId="23F1E2FF" w:rsidR="00EA5206" w:rsidRPr="004005D2" w:rsidRDefault="00EA5206" w:rsidP="00EA5206">
      <w:pPr>
        <w:jc w:val="both"/>
        <w:rPr>
          <w:rFonts w:eastAsia="Times New Roman"/>
          <w:lang w:eastAsia="en-GB"/>
        </w:rPr>
      </w:pPr>
      <w:r w:rsidRPr="004005D2">
        <w:rPr>
          <w:rFonts w:eastAsia="Times New Roman"/>
          <w:lang w:eastAsia="en-GB"/>
        </w:rPr>
        <w:t>The Council’s approach to commercial assets needs to diversify in order to meet changing occupational requirements within the market.  The strategy therefore has to be to make assets more adaptable, sustaining good income generating characteristics and aiming for growth potential in the medium term.</w:t>
      </w:r>
    </w:p>
    <w:p w14:paraId="62132FAC" w14:textId="77777777" w:rsidR="00EA5206" w:rsidRPr="004005D2" w:rsidRDefault="00EA5206" w:rsidP="00EA5206">
      <w:pPr>
        <w:jc w:val="both"/>
        <w:rPr>
          <w:rFonts w:eastAsia="Times New Roman"/>
          <w:u w:val="single"/>
          <w:lang w:eastAsia="en-GB"/>
        </w:rPr>
      </w:pPr>
    </w:p>
    <w:p w14:paraId="1518D2DF" w14:textId="5F5F9AD1" w:rsidR="00EA5206" w:rsidRPr="004005D2" w:rsidRDefault="00EA5206" w:rsidP="00EA5206">
      <w:pPr>
        <w:jc w:val="both"/>
        <w:rPr>
          <w:rFonts w:eastAsia="Times New Roman"/>
          <w:lang w:eastAsia="en-GB"/>
        </w:rPr>
      </w:pPr>
      <w:r w:rsidRPr="004005D2">
        <w:rPr>
          <w:rFonts w:eastAsia="Times New Roman"/>
          <w:lang w:eastAsia="en-GB"/>
        </w:rPr>
        <w:t xml:space="preserve">As described above in 3.2.3 (i) the Council will move to eliminate the unclassified category of assets, with all assets being classified as either operational or commercial, and if the properties fall within the commercial classification  they will be subject to market terms.  </w:t>
      </w:r>
    </w:p>
    <w:p w14:paraId="745E7260" w14:textId="77777777" w:rsidR="00EA5206" w:rsidRPr="004005D2" w:rsidRDefault="00EA5206" w:rsidP="00EA5206">
      <w:pPr>
        <w:jc w:val="both"/>
        <w:rPr>
          <w:rFonts w:eastAsia="Times New Roman"/>
          <w:lang w:eastAsia="en-GB"/>
        </w:rPr>
      </w:pPr>
    </w:p>
    <w:p w14:paraId="6656C402" w14:textId="4205A471" w:rsidR="00EA5206" w:rsidRPr="00EA5206" w:rsidRDefault="00EA5206" w:rsidP="00EA5206">
      <w:pPr>
        <w:jc w:val="both"/>
        <w:rPr>
          <w:rFonts w:eastAsia="Times New Roman"/>
          <w:lang w:eastAsia="en-GB"/>
        </w:rPr>
      </w:pPr>
      <w:r w:rsidRPr="004005D2">
        <w:rPr>
          <w:rFonts w:eastAsia="Times New Roman"/>
          <w:lang w:eastAsia="en-GB"/>
        </w:rPr>
        <w:t xml:space="preserve">The </w:t>
      </w:r>
      <w:r w:rsidR="00F37062">
        <w:rPr>
          <w:rFonts w:eastAsia="Times New Roman"/>
          <w:lang w:eastAsia="en-GB"/>
        </w:rPr>
        <w:t>‘</w:t>
      </w:r>
      <w:r w:rsidRPr="004005D2">
        <w:rPr>
          <w:rFonts w:eastAsia="Times New Roman"/>
          <w:lang w:eastAsia="en-GB"/>
        </w:rPr>
        <w:t>Urban Files</w:t>
      </w:r>
      <w:r w:rsidR="00F37062">
        <w:rPr>
          <w:rFonts w:eastAsia="Times New Roman"/>
          <w:lang w:eastAsia="en-GB"/>
        </w:rPr>
        <w:t>’</w:t>
      </w:r>
      <w:r w:rsidRPr="004005D2">
        <w:rPr>
          <w:rFonts w:eastAsia="Times New Roman"/>
          <w:lang w:eastAsia="en-GB"/>
        </w:rPr>
        <w:t xml:space="preserve"> approach, section 3.2.3 (ii) will enable a more strategic approach to reviewing the portfolio and</w:t>
      </w:r>
      <w:r w:rsidRPr="00EA5206">
        <w:rPr>
          <w:rFonts w:eastAsia="Times New Roman"/>
          <w:lang w:eastAsia="en-GB"/>
        </w:rPr>
        <w:t xml:space="preserve"> considering disposals and acquisitions with the intention of developing a more coherent portfolio of properties. </w:t>
      </w:r>
    </w:p>
    <w:p w14:paraId="29AA79BD" w14:textId="77777777" w:rsidR="00EA5206" w:rsidRPr="00EA5206" w:rsidRDefault="00EA5206" w:rsidP="00EA5206">
      <w:pPr>
        <w:jc w:val="both"/>
        <w:rPr>
          <w:rFonts w:eastAsia="Times New Roman"/>
          <w:u w:val="single"/>
          <w:lang w:eastAsia="en-GB"/>
        </w:rPr>
      </w:pPr>
    </w:p>
    <w:p w14:paraId="0C0D088D" w14:textId="77777777" w:rsidR="00EA5206" w:rsidRPr="00EA5206" w:rsidRDefault="00EA5206" w:rsidP="00EA5206">
      <w:pPr>
        <w:jc w:val="both"/>
        <w:rPr>
          <w:rFonts w:eastAsia="Times New Roman"/>
          <w:lang w:eastAsia="en-GB"/>
        </w:rPr>
      </w:pPr>
      <w:r w:rsidRPr="00EA5206">
        <w:rPr>
          <w:rFonts w:eastAsia="Times New Roman"/>
          <w:lang w:eastAsia="en-GB"/>
        </w:rPr>
        <w:t>Opportunities exist to develop sites currently in the Council’s ownership to fully exploit their potential as commercial properties. This co-ordinated transparent approach should assist in identifying new development opportunities going  forward.</w:t>
      </w:r>
    </w:p>
    <w:p w14:paraId="6B0DC83C" w14:textId="77777777" w:rsidR="00EA5206" w:rsidRPr="00EA5206" w:rsidRDefault="00EA5206" w:rsidP="00EA5206">
      <w:pPr>
        <w:jc w:val="both"/>
        <w:rPr>
          <w:rFonts w:eastAsia="Times New Roman"/>
          <w:lang w:eastAsia="en-GB"/>
        </w:rPr>
      </w:pPr>
    </w:p>
    <w:p w14:paraId="0EA464E4" w14:textId="401468DF" w:rsidR="00122F96" w:rsidRDefault="00E70D77" w:rsidP="00A00768">
      <w:pPr>
        <w:jc w:val="both"/>
        <w:rPr>
          <w:rFonts w:eastAsia="Times New Roman"/>
          <w:lang w:eastAsia="en-GB"/>
        </w:rPr>
      </w:pPr>
      <w:r w:rsidRPr="00BC5A03">
        <w:rPr>
          <w:rFonts w:eastAsia="Times New Roman"/>
          <w:lang w:eastAsia="en-GB"/>
        </w:rPr>
        <w:t>In</w:t>
      </w:r>
      <w:r w:rsidR="00B80818" w:rsidRPr="00BC5A03">
        <w:rPr>
          <w:rFonts w:eastAsia="Times New Roman"/>
          <w:lang w:eastAsia="en-GB"/>
        </w:rPr>
        <w:t xml:space="preserve"> addition</w:t>
      </w:r>
      <w:r w:rsidRPr="00BC5A03">
        <w:rPr>
          <w:rFonts w:eastAsia="Times New Roman"/>
          <w:lang w:eastAsia="en-GB"/>
        </w:rPr>
        <w:t xml:space="preserve"> transfer of the Council’s non-Housing stock, such as garages and commercial properties, from the Housing Revenue Account to the General Fund is expected to deliver a saving of £1,000k by 2017/18.  The saving</w:t>
      </w:r>
      <w:r w:rsidR="0026121F" w:rsidRPr="00BC5A03">
        <w:rPr>
          <w:rFonts w:eastAsia="Times New Roman"/>
          <w:lang w:eastAsia="en-GB"/>
        </w:rPr>
        <w:t>, part of the Lewisham Future programme,</w:t>
      </w:r>
      <w:r w:rsidRPr="00BC5A03">
        <w:rPr>
          <w:rFonts w:eastAsia="Times New Roman"/>
          <w:lang w:eastAsia="en-GB"/>
        </w:rPr>
        <w:t xml:space="preserve"> </w:t>
      </w:r>
      <w:r w:rsidR="000D6828" w:rsidRPr="00BC5A03">
        <w:rPr>
          <w:rFonts w:eastAsia="Times New Roman"/>
          <w:lang w:eastAsia="en-GB"/>
        </w:rPr>
        <w:t xml:space="preserve">is </w:t>
      </w:r>
      <w:r w:rsidRPr="00BC5A03">
        <w:rPr>
          <w:rFonts w:eastAsia="Times New Roman"/>
          <w:lang w:eastAsia="en-GB"/>
        </w:rPr>
        <w:t xml:space="preserve">based on </w:t>
      </w:r>
      <w:r w:rsidR="000D6828" w:rsidRPr="00BC5A03">
        <w:rPr>
          <w:rFonts w:eastAsia="Times New Roman"/>
          <w:lang w:eastAsia="en-GB"/>
        </w:rPr>
        <w:t xml:space="preserve">removing the restriction from managing these properties within the Housing Revenue Account, allowing the transfer of debt to improve the </w:t>
      </w:r>
      <w:r w:rsidR="00BF3432" w:rsidRPr="00BC5A03">
        <w:rPr>
          <w:rFonts w:eastAsia="Times New Roman"/>
          <w:lang w:eastAsia="en-GB"/>
        </w:rPr>
        <w:t>potential</w:t>
      </w:r>
      <w:r w:rsidR="000D6828" w:rsidRPr="00BC5A03">
        <w:rPr>
          <w:rFonts w:eastAsia="Times New Roman"/>
          <w:lang w:eastAsia="en-GB"/>
        </w:rPr>
        <w:t xml:space="preserve"> for borrowing for wider housing objectives</w:t>
      </w:r>
      <w:r w:rsidR="00BF3432" w:rsidRPr="00BC5A03">
        <w:rPr>
          <w:rFonts w:eastAsia="Times New Roman"/>
          <w:lang w:eastAsia="en-GB"/>
        </w:rPr>
        <w:t>, reducing</w:t>
      </w:r>
      <w:r w:rsidR="000D6828" w:rsidRPr="00BC5A03">
        <w:rPr>
          <w:rFonts w:eastAsia="Times New Roman"/>
          <w:lang w:eastAsia="en-GB"/>
        </w:rPr>
        <w:t xml:space="preserve"> voids and ensuring a commercial approach to the management of these </w:t>
      </w:r>
      <w:r w:rsidR="00BF3432" w:rsidRPr="00BC5A03">
        <w:rPr>
          <w:rFonts w:eastAsia="Times New Roman"/>
          <w:lang w:eastAsia="en-GB"/>
        </w:rPr>
        <w:t>properties</w:t>
      </w:r>
      <w:r w:rsidR="00BC5A03" w:rsidRPr="00BC5A03">
        <w:rPr>
          <w:rFonts w:eastAsia="Times New Roman"/>
          <w:lang w:eastAsia="en-GB"/>
        </w:rPr>
        <w:t>.</w:t>
      </w:r>
      <w:r w:rsidR="000D6828" w:rsidRPr="00BC5A03">
        <w:rPr>
          <w:rFonts w:eastAsia="Times New Roman"/>
          <w:lang w:eastAsia="en-GB"/>
        </w:rPr>
        <w:t xml:space="preserve"> </w:t>
      </w:r>
    </w:p>
    <w:p w14:paraId="068CD3AA" w14:textId="48901859" w:rsidR="00D43251" w:rsidRDefault="00D43251" w:rsidP="006E56E3">
      <w:pPr>
        <w:jc w:val="both"/>
        <w:rPr>
          <w:rFonts w:eastAsia="Times New Roman"/>
          <w:u w:val="single"/>
          <w:lang w:eastAsia="en-GB"/>
        </w:rPr>
      </w:pPr>
    </w:p>
    <w:tbl>
      <w:tblPr>
        <w:tblStyle w:val="TableGrid"/>
        <w:tblW w:w="0" w:type="auto"/>
        <w:tblLook w:val="04A0" w:firstRow="1" w:lastRow="0" w:firstColumn="1" w:lastColumn="0" w:noHBand="0" w:noVBand="1"/>
      </w:tblPr>
      <w:tblGrid>
        <w:gridCol w:w="10682"/>
      </w:tblGrid>
      <w:tr w:rsidR="00A86C94" w14:paraId="649C0A94" w14:textId="77777777" w:rsidTr="00A86C94">
        <w:tc>
          <w:tcPr>
            <w:tcW w:w="10682" w:type="dxa"/>
            <w:shd w:val="clear" w:color="auto" w:fill="A6A6A6" w:themeFill="background1" w:themeFillShade="A6"/>
          </w:tcPr>
          <w:p w14:paraId="2844945D" w14:textId="3C30537B" w:rsidR="00A86C94" w:rsidRDefault="00690673" w:rsidP="00A86C94">
            <w:pPr>
              <w:jc w:val="both"/>
              <w:rPr>
                <w:rFonts w:eastAsia="Times New Roman"/>
                <w:lang w:eastAsia="en-GB"/>
              </w:rPr>
            </w:pPr>
            <w:r>
              <w:rPr>
                <w:rFonts w:eastAsia="Times New Roman"/>
                <w:b/>
                <w:highlight w:val="lightGray"/>
                <w:lang w:eastAsia="en-GB"/>
              </w:rPr>
              <w:t>3.5</w:t>
            </w:r>
            <w:r w:rsidR="00A86C94" w:rsidRPr="00963A6B">
              <w:rPr>
                <w:rFonts w:eastAsia="Times New Roman"/>
                <w:b/>
                <w:highlight w:val="lightGray"/>
                <w:lang w:eastAsia="en-GB"/>
              </w:rPr>
              <w:t>.2</w:t>
            </w:r>
            <w:r w:rsidR="00A86C94">
              <w:rPr>
                <w:rFonts w:eastAsia="Times New Roman"/>
                <w:highlight w:val="lightGray"/>
                <w:lang w:eastAsia="en-GB"/>
              </w:rPr>
              <w:tab/>
            </w:r>
            <w:r w:rsidR="00A86C94" w:rsidRPr="00A00768">
              <w:rPr>
                <w:rFonts w:eastAsia="Times New Roman"/>
                <w:highlight w:val="lightGray"/>
                <w:lang w:eastAsia="en-GB"/>
              </w:rPr>
              <w:t>INCREASED INCOME</w:t>
            </w:r>
            <w:r w:rsidR="00A86C94">
              <w:rPr>
                <w:rFonts w:eastAsia="Times New Roman"/>
                <w:highlight w:val="lightGray"/>
                <w:lang w:eastAsia="en-GB"/>
              </w:rPr>
              <w:t xml:space="preserve"> FROM THE EXISTING ESTATE</w:t>
            </w:r>
          </w:p>
          <w:p w14:paraId="69FC77BE" w14:textId="77777777" w:rsidR="00A86C94" w:rsidRDefault="00A86C94" w:rsidP="00A86C94">
            <w:pPr>
              <w:jc w:val="both"/>
              <w:rPr>
                <w:highlight w:val="lightGray"/>
                <w:lang w:eastAsia="en-GB"/>
              </w:rPr>
            </w:pPr>
          </w:p>
          <w:p w14:paraId="6EAFAD66" w14:textId="3C2888C2" w:rsidR="00A86C94" w:rsidRPr="00A86C94" w:rsidRDefault="00A86C94" w:rsidP="00A00768">
            <w:pPr>
              <w:jc w:val="both"/>
              <w:rPr>
                <w:i/>
                <w:highlight w:val="lightGray"/>
                <w:lang w:eastAsia="en-GB"/>
              </w:rPr>
            </w:pPr>
            <w:r w:rsidRPr="00A00768">
              <w:rPr>
                <w:i/>
                <w:highlight w:val="lightGray"/>
                <w:lang w:eastAsia="en-GB"/>
              </w:rPr>
              <w:t xml:space="preserve">Refocussing the existing commercial portfolio to achieve market rates and maximise income </w:t>
            </w:r>
            <w:r>
              <w:rPr>
                <w:i/>
                <w:highlight w:val="lightGray"/>
                <w:lang w:eastAsia="en-GB"/>
              </w:rPr>
              <w:t>collection</w:t>
            </w:r>
          </w:p>
        </w:tc>
      </w:tr>
    </w:tbl>
    <w:p w14:paraId="177D985D" w14:textId="77777777" w:rsidR="00A00768" w:rsidRDefault="00A00768" w:rsidP="00A00768">
      <w:pPr>
        <w:jc w:val="both"/>
        <w:rPr>
          <w:rFonts w:eastAsia="Times New Roman"/>
          <w:highlight w:val="lightGray"/>
          <w:lang w:eastAsia="en-GB"/>
        </w:rPr>
      </w:pPr>
    </w:p>
    <w:p w14:paraId="7C1DDD46" w14:textId="60C14384" w:rsidR="00E231F9" w:rsidRPr="00E231F9" w:rsidRDefault="00E87616" w:rsidP="00E231F9">
      <w:pPr>
        <w:jc w:val="both"/>
        <w:rPr>
          <w:rFonts w:eastAsia="Times New Roman" w:cs="Times New Roman"/>
          <w:u w:val="single"/>
          <w:lang w:eastAsia="en-GB"/>
        </w:rPr>
      </w:pPr>
      <w:r>
        <w:rPr>
          <w:rFonts w:eastAsia="Times New Roman" w:cs="Times New Roman"/>
          <w:u w:val="single"/>
          <w:lang w:eastAsia="en-GB"/>
        </w:rPr>
        <w:t xml:space="preserve">(i) </w:t>
      </w:r>
      <w:r w:rsidR="00E231F9" w:rsidRPr="00E231F9">
        <w:rPr>
          <w:rFonts w:eastAsia="Times New Roman" w:cs="Times New Roman"/>
          <w:u w:val="single"/>
          <w:lang w:eastAsia="en-GB"/>
        </w:rPr>
        <w:t xml:space="preserve">Rent review of all assets and </w:t>
      </w:r>
      <w:r w:rsidR="00D03364">
        <w:rPr>
          <w:rFonts w:eastAsia="Times New Roman" w:cs="Times New Roman"/>
          <w:u w:val="single"/>
          <w:lang w:eastAsia="en-GB"/>
        </w:rPr>
        <w:t>programme of lease renewals</w:t>
      </w:r>
    </w:p>
    <w:p w14:paraId="5914AF87" w14:textId="77777777" w:rsidR="00E231F9" w:rsidRDefault="00E231F9" w:rsidP="00E231F9">
      <w:pPr>
        <w:jc w:val="both"/>
        <w:rPr>
          <w:rFonts w:eastAsia="Times New Roman" w:cs="Times New Roman"/>
          <w:lang w:eastAsia="en-GB"/>
        </w:rPr>
      </w:pPr>
    </w:p>
    <w:p w14:paraId="1EC254D6" w14:textId="33130DBD" w:rsidR="00EA5206" w:rsidRPr="00EA5206" w:rsidRDefault="00EA5206" w:rsidP="00EA5206">
      <w:pPr>
        <w:rPr>
          <w:rFonts w:eastAsia="Times New Roman" w:cs="Times New Roman"/>
          <w:lang w:eastAsia="en-GB"/>
        </w:rPr>
      </w:pPr>
      <w:r w:rsidRPr="00EA5206">
        <w:rPr>
          <w:rFonts w:eastAsia="Times New Roman" w:cs="Times New Roman"/>
          <w:lang w:eastAsia="en-GB"/>
        </w:rPr>
        <w:t>In order to meet Local Authority financial reporting standards the asset portfolio of the London Borough of Lewisham must be valued every five years. The guidelines for valuations have changed this year so that demonstrating that we have revalued all our assets over a 5 year period is no longer sufficient. The Authority is obliged to consider the carrying value of all our assets and provide compelling reasons if some classification of assets do not require revaluation. Additionally there are certain categories of assets which must be valued every year such as Council Investment Assets and Council Dwellings. In addition to this, there is also a requirement to get an asset re-valued within the five year period if the reported value has undergone a material difference since its initial valuation.</w:t>
      </w:r>
    </w:p>
    <w:p w14:paraId="203D59DB" w14:textId="77777777" w:rsidR="00EA5206" w:rsidRPr="00EA5206" w:rsidRDefault="00EA5206" w:rsidP="00EA5206">
      <w:pPr>
        <w:rPr>
          <w:rFonts w:eastAsia="Times New Roman" w:cs="Times New Roman"/>
          <w:lang w:eastAsia="en-GB"/>
        </w:rPr>
      </w:pPr>
    </w:p>
    <w:p w14:paraId="3ED93592" w14:textId="37181F61" w:rsidR="00EA5206" w:rsidRPr="00EA5206" w:rsidRDefault="00EA5206" w:rsidP="00EA5206">
      <w:pPr>
        <w:rPr>
          <w:rFonts w:eastAsia="Times New Roman" w:cs="Times New Roman"/>
          <w:lang w:eastAsia="en-GB"/>
        </w:rPr>
      </w:pPr>
      <w:r w:rsidRPr="00EA5206">
        <w:rPr>
          <w:rFonts w:eastAsia="Times New Roman" w:cs="Times New Roman"/>
          <w:lang w:eastAsia="en-GB"/>
        </w:rPr>
        <w:t xml:space="preserve">In previous years it has been sufficient to do asset revaluations as at the 1st April however, as the emphasis is placed on the carrying value at the 31st March each year it has been decided to get valuations done at the 31st of January each year. </w:t>
      </w:r>
      <w:r w:rsidR="00BC5A03">
        <w:rPr>
          <w:rFonts w:eastAsia="Times New Roman" w:cs="Times New Roman"/>
          <w:lang w:eastAsia="en-GB"/>
        </w:rPr>
        <w:t xml:space="preserve"> </w:t>
      </w:r>
    </w:p>
    <w:p w14:paraId="2DE8F6C9" w14:textId="77777777" w:rsidR="00EA5206" w:rsidRPr="00EA5206" w:rsidRDefault="00EA5206" w:rsidP="00EA5206">
      <w:pPr>
        <w:rPr>
          <w:rFonts w:eastAsia="Times New Roman" w:cs="Times New Roman"/>
          <w:lang w:eastAsia="en-GB"/>
        </w:rPr>
      </w:pPr>
    </w:p>
    <w:p w14:paraId="5D504134" w14:textId="4A04AC6C" w:rsidR="00EA5206" w:rsidRPr="00EA5206" w:rsidRDefault="00EA5206" w:rsidP="00EA5206">
      <w:pPr>
        <w:rPr>
          <w:rFonts w:eastAsia="Times New Roman" w:cs="Times New Roman"/>
          <w:lang w:eastAsia="en-GB"/>
        </w:rPr>
      </w:pPr>
      <w:r w:rsidRPr="00EA5206">
        <w:rPr>
          <w:rFonts w:eastAsia="Times New Roman" w:cs="Times New Roman"/>
          <w:lang w:eastAsia="en-GB"/>
        </w:rPr>
        <w:t>The portfolio should be pro-actively managed on commercial terms</w:t>
      </w:r>
      <w:r w:rsidR="00BC5A03">
        <w:rPr>
          <w:rFonts w:eastAsia="Times New Roman" w:cs="Times New Roman"/>
          <w:lang w:eastAsia="en-GB"/>
        </w:rPr>
        <w:t>, in particular ensuring that the Council achieves true market rental levels</w:t>
      </w:r>
      <w:r w:rsidRPr="00EA5206">
        <w:rPr>
          <w:rFonts w:eastAsia="Times New Roman" w:cs="Times New Roman"/>
          <w:lang w:eastAsia="en-GB"/>
        </w:rPr>
        <w:t>. This can be achieved through re-negotiating of the existing leases through lease renewals or lease re-gears. This process will also identify leasehold properties where rent reviews are outstanding and where existing rental levels are considerably below current market rents.</w:t>
      </w:r>
    </w:p>
    <w:p w14:paraId="6AE24CF7" w14:textId="77777777" w:rsidR="00EA5206" w:rsidRPr="00EA5206" w:rsidRDefault="00EA5206" w:rsidP="00EA5206">
      <w:pPr>
        <w:rPr>
          <w:rFonts w:eastAsia="Times New Roman" w:cs="Times New Roman"/>
          <w:lang w:eastAsia="en-GB"/>
        </w:rPr>
      </w:pPr>
    </w:p>
    <w:p w14:paraId="06AFA136" w14:textId="01685377" w:rsidR="00EA5206" w:rsidRPr="00EA5206" w:rsidRDefault="00BC5A03" w:rsidP="00EA5206">
      <w:pPr>
        <w:rPr>
          <w:rFonts w:eastAsia="Times New Roman" w:cs="Times New Roman"/>
          <w:lang w:eastAsia="en-GB"/>
        </w:rPr>
      </w:pPr>
      <w:r>
        <w:rPr>
          <w:rFonts w:eastAsia="Times New Roman" w:cs="Times New Roman"/>
          <w:lang w:eastAsia="en-GB"/>
        </w:rPr>
        <w:t xml:space="preserve">There are </w:t>
      </w:r>
      <w:r w:rsidR="00EA5206" w:rsidRPr="00EA5206">
        <w:rPr>
          <w:rFonts w:eastAsia="Times New Roman" w:cs="Times New Roman"/>
          <w:lang w:eastAsia="en-GB"/>
        </w:rPr>
        <w:t xml:space="preserve">a significant number of commercial properties where the current rent receivable are approximately 5 to 10 years out of date </w:t>
      </w:r>
      <w:r w:rsidR="00057B1F">
        <w:rPr>
          <w:rFonts w:eastAsia="Times New Roman" w:cs="Times New Roman"/>
          <w:lang w:eastAsia="en-GB"/>
        </w:rPr>
        <w:t xml:space="preserve">where </w:t>
      </w:r>
      <w:r w:rsidR="00EA5206" w:rsidRPr="00EA5206">
        <w:rPr>
          <w:rFonts w:eastAsia="Times New Roman" w:cs="Times New Roman"/>
          <w:lang w:eastAsia="en-GB"/>
        </w:rPr>
        <w:t xml:space="preserve">market rental levels </w:t>
      </w:r>
      <w:r w:rsidR="00057B1F">
        <w:rPr>
          <w:rFonts w:eastAsia="Times New Roman" w:cs="Times New Roman"/>
          <w:lang w:eastAsia="en-GB"/>
        </w:rPr>
        <w:t xml:space="preserve">would be expected to be </w:t>
      </w:r>
      <w:r w:rsidR="00EA5206" w:rsidRPr="00EA5206">
        <w:rPr>
          <w:rFonts w:eastAsia="Times New Roman" w:cs="Times New Roman"/>
          <w:lang w:eastAsia="en-GB"/>
        </w:rPr>
        <w:t xml:space="preserve">considerably higher. </w:t>
      </w:r>
    </w:p>
    <w:p w14:paraId="0FCA9AAC" w14:textId="77777777" w:rsidR="00EA5206" w:rsidRPr="00EA5206" w:rsidRDefault="00EA5206" w:rsidP="00EA5206">
      <w:pPr>
        <w:rPr>
          <w:rFonts w:eastAsia="Times New Roman" w:cs="Times New Roman"/>
          <w:lang w:eastAsia="en-GB"/>
        </w:rPr>
      </w:pPr>
    </w:p>
    <w:p w14:paraId="38CCAA0B" w14:textId="326036E5" w:rsidR="00EA5206" w:rsidRPr="00EA5206" w:rsidRDefault="00EA5206" w:rsidP="00EA5206">
      <w:pPr>
        <w:rPr>
          <w:rFonts w:eastAsia="Times New Roman" w:cs="Times New Roman"/>
          <w:lang w:eastAsia="en-GB"/>
        </w:rPr>
      </w:pPr>
      <w:r w:rsidRPr="00EA5206">
        <w:rPr>
          <w:rFonts w:eastAsia="Times New Roman" w:cs="Times New Roman"/>
          <w:lang w:eastAsia="en-GB"/>
        </w:rPr>
        <w:t>Increasing market rental value of the portfolio can be a lengthy process</w:t>
      </w:r>
      <w:r w:rsidR="00BC5A03">
        <w:rPr>
          <w:rFonts w:eastAsia="Times New Roman" w:cs="Times New Roman"/>
          <w:lang w:eastAsia="en-GB"/>
        </w:rPr>
        <w:t xml:space="preserve">, particularly </w:t>
      </w:r>
      <w:r w:rsidR="00BC5A03" w:rsidRPr="00EA5206">
        <w:rPr>
          <w:rFonts w:eastAsia="Times New Roman" w:cs="Times New Roman"/>
          <w:lang w:eastAsia="en-GB"/>
        </w:rPr>
        <w:t>in a rising rental market</w:t>
      </w:r>
      <w:r w:rsidRPr="00EA5206">
        <w:rPr>
          <w:rFonts w:eastAsia="Times New Roman" w:cs="Times New Roman"/>
          <w:lang w:eastAsia="en-GB"/>
        </w:rPr>
        <w:t xml:space="preserve">. The lease renewal process is often protracted </w:t>
      </w:r>
      <w:r w:rsidR="00BC5A03">
        <w:rPr>
          <w:rFonts w:eastAsia="Times New Roman" w:cs="Times New Roman"/>
          <w:lang w:eastAsia="en-GB"/>
        </w:rPr>
        <w:t xml:space="preserve">including where </w:t>
      </w:r>
      <w:r w:rsidRPr="00EA5206">
        <w:rPr>
          <w:rFonts w:eastAsia="Times New Roman" w:cs="Times New Roman"/>
          <w:lang w:eastAsia="en-GB"/>
        </w:rPr>
        <w:t xml:space="preserve">a negotiated settlement cannot be reached </w:t>
      </w:r>
      <w:r w:rsidR="00BC5A03">
        <w:rPr>
          <w:rFonts w:eastAsia="Times New Roman" w:cs="Times New Roman"/>
          <w:lang w:eastAsia="en-GB"/>
        </w:rPr>
        <w:t xml:space="preserve">requiring </w:t>
      </w:r>
      <w:r w:rsidRPr="00EA5206">
        <w:rPr>
          <w:rFonts w:eastAsia="Times New Roman" w:cs="Times New Roman"/>
          <w:lang w:eastAsia="en-GB"/>
        </w:rPr>
        <w:t xml:space="preserve"> legal assistance.</w:t>
      </w:r>
    </w:p>
    <w:p w14:paraId="1EA44429" w14:textId="77777777" w:rsidR="00EA5206" w:rsidRPr="00EA5206" w:rsidRDefault="00EA5206" w:rsidP="00EA5206">
      <w:pPr>
        <w:rPr>
          <w:rFonts w:eastAsia="Times New Roman" w:cs="Times New Roman"/>
          <w:lang w:eastAsia="en-GB"/>
        </w:rPr>
      </w:pPr>
    </w:p>
    <w:p w14:paraId="02DD461F" w14:textId="30DBA912" w:rsidR="00EA5206" w:rsidRDefault="00EA5206" w:rsidP="00EA5206">
      <w:pPr>
        <w:rPr>
          <w:rFonts w:eastAsia="Times New Roman" w:cs="Times New Roman"/>
          <w:lang w:eastAsia="en-GB"/>
        </w:rPr>
      </w:pPr>
      <w:r w:rsidRPr="00EA5206">
        <w:rPr>
          <w:rFonts w:eastAsia="Times New Roman" w:cs="Times New Roman"/>
          <w:lang w:eastAsia="en-GB"/>
        </w:rPr>
        <w:t xml:space="preserve"> In some cases the rent review process can also be protracted, particularly if the matter has to be referred to a third party outcome  in accordance with the subject lease. The timelines will vary depending upon whether a third party </w:t>
      </w:r>
      <w:r w:rsidR="006718A6" w:rsidRPr="00EA5206">
        <w:rPr>
          <w:rFonts w:eastAsia="Times New Roman" w:cs="Times New Roman"/>
          <w:lang w:eastAsia="en-GB"/>
        </w:rPr>
        <w:t>Arbitrator</w:t>
      </w:r>
      <w:r w:rsidRPr="00EA5206">
        <w:rPr>
          <w:rFonts w:eastAsia="Times New Roman" w:cs="Times New Roman"/>
          <w:lang w:eastAsia="en-GB"/>
        </w:rPr>
        <w:t>/ Independent Expert appointment can be agreed upon or whether the RICS/ Law Society have to make the appointment then the process can take in excess of six months before you receive an Award (Arbitration) or Determination (Independent Expert) and there may be considerably associated costs depending upon the nature of the property and rent review provisions of the subject lease. Indeed, there are some rent reviews within the portfolio that are more straight forward as they are RPI and can generally be backdated unless “time is of the essence” which is rarely the case.</w:t>
      </w:r>
    </w:p>
    <w:p w14:paraId="35B5509A" w14:textId="77777777" w:rsidR="00EA5206" w:rsidRPr="00EA5206" w:rsidRDefault="00EA5206" w:rsidP="00EA5206">
      <w:pPr>
        <w:rPr>
          <w:rFonts w:eastAsia="Times New Roman" w:cs="Times New Roman"/>
          <w:lang w:eastAsia="en-GB"/>
        </w:rPr>
      </w:pPr>
    </w:p>
    <w:p w14:paraId="54E42D05" w14:textId="76A6BB94" w:rsidR="00EA5206" w:rsidRPr="00EA5206" w:rsidRDefault="00EA5206" w:rsidP="00EA5206">
      <w:pPr>
        <w:jc w:val="both"/>
        <w:rPr>
          <w:rFonts w:eastAsia="Times New Roman" w:cs="Times New Roman"/>
          <w:lang w:eastAsia="en-GB"/>
        </w:rPr>
      </w:pPr>
      <w:r w:rsidRPr="00EA5206">
        <w:rPr>
          <w:rFonts w:eastAsia="Times New Roman" w:cs="Times New Roman"/>
          <w:lang w:eastAsia="en-GB"/>
        </w:rPr>
        <w:t xml:space="preserve">There are a significant number of over-holding tenants, whereby either vacant possession should be obtained and/or new leases on commercial terms need to be put in place. Those properties that are vacant or due to become vacant should be actively managed to achieve current market terms. This can be done through refurbishing the properties in order to bring to a lettable state and to attract tenants on strong covenants and secure longer lease terms. All of the Council-owned properties that are currently marketed by the third party, approx. 25% of these properties required some internal repairs and light refurbishment work. </w:t>
      </w:r>
    </w:p>
    <w:p w14:paraId="5B913D3E" w14:textId="77777777" w:rsidR="005F285A" w:rsidRDefault="005F285A" w:rsidP="005F285A">
      <w:pPr>
        <w:jc w:val="both"/>
        <w:rPr>
          <w:rFonts w:eastAsia="Times New Roman" w:cs="Times New Roman"/>
          <w:lang w:eastAsia="en-GB"/>
        </w:rPr>
      </w:pPr>
    </w:p>
    <w:p w14:paraId="714802FB" w14:textId="77777777" w:rsidR="00D03364" w:rsidRDefault="00D03364" w:rsidP="00E231F9">
      <w:pPr>
        <w:jc w:val="both"/>
        <w:rPr>
          <w:rFonts w:eastAsia="Times New Roman" w:cs="Times New Roman"/>
          <w:u w:val="single"/>
          <w:lang w:eastAsia="en-GB"/>
        </w:rPr>
      </w:pPr>
    </w:p>
    <w:p w14:paraId="00379F41" w14:textId="71EE9DF5" w:rsidR="00A00768" w:rsidRDefault="00E87616" w:rsidP="00E231F9">
      <w:pPr>
        <w:jc w:val="both"/>
        <w:rPr>
          <w:rFonts w:eastAsia="Times New Roman" w:cs="Times New Roman"/>
          <w:u w:val="single"/>
          <w:lang w:eastAsia="en-GB"/>
        </w:rPr>
      </w:pPr>
      <w:r>
        <w:rPr>
          <w:rFonts w:eastAsia="Times New Roman" w:cs="Times New Roman"/>
          <w:u w:val="single"/>
          <w:lang w:eastAsia="en-GB"/>
        </w:rPr>
        <w:lastRenderedPageBreak/>
        <w:t xml:space="preserve">(ii) </w:t>
      </w:r>
      <w:r w:rsidR="00E231F9" w:rsidRPr="00E231F9">
        <w:rPr>
          <w:rFonts w:eastAsia="Times New Roman" w:cs="Times New Roman"/>
          <w:u w:val="single"/>
          <w:lang w:eastAsia="en-GB"/>
        </w:rPr>
        <w:t>Proactive income collection, void minimisation and debt recovery</w:t>
      </w:r>
    </w:p>
    <w:p w14:paraId="55022737" w14:textId="77777777" w:rsidR="00E231F9" w:rsidRDefault="00E231F9" w:rsidP="00E231F9">
      <w:pPr>
        <w:jc w:val="both"/>
        <w:rPr>
          <w:rFonts w:eastAsia="Times New Roman" w:cs="Times New Roman"/>
          <w:u w:val="single"/>
          <w:lang w:eastAsia="en-GB"/>
        </w:rPr>
      </w:pPr>
    </w:p>
    <w:p w14:paraId="6E1BCAFD" w14:textId="7833A1E4" w:rsidR="00E231F9" w:rsidRPr="005B724A" w:rsidRDefault="00016836" w:rsidP="00016836">
      <w:pPr>
        <w:jc w:val="both"/>
        <w:rPr>
          <w:rFonts w:eastAsia="Times New Roman" w:cs="Times New Roman"/>
          <w:lang w:eastAsia="en-GB"/>
        </w:rPr>
      </w:pPr>
      <w:r>
        <w:rPr>
          <w:rFonts w:eastAsia="Times New Roman" w:cs="Times New Roman"/>
          <w:lang w:eastAsia="en-GB"/>
        </w:rPr>
        <w:t xml:space="preserve">The new AMS and associated systems, described above in section 3.2.2, will </w:t>
      </w:r>
      <w:r w:rsidR="00BF3432">
        <w:rPr>
          <w:rFonts w:eastAsia="Times New Roman" w:cs="Times New Roman"/>
          <w:lang w:eastAsia="en-GB"/>
        </w:rPr>
        <w:t>ensure more</w:t>
      </w:r>
      <w:r>
        <w:rPr>
          <w:rFonts w:eastAsia="Times New Roman" w:cs="Times New Roman"/>
          <w:lang w:eastAsia="en-GB"/>
        </w:rPr>
        <w:t xml:space="preserve"> robust data is held on assets within the commercial portfolio and will enable a more proactive approach to identifying properties due for </w:t>
      </w:r>
      <w:r w:rsidR="00BF3432">
        <w:rPr>
          <w:rFonts w:eastAsia="Times New Roman" w:cs="Times New Roman"/>
          <w:lang w:eastAsia="en-GB"/>
        </w:rPr>
        <w:t>r</w:t>
      </w:r>
      <w:r w:rsidR="00E231F9" w:rsidRPr="005B724A">
        <w:rPr>
          <w:rFonts w:eastAsia="Times New Roman" w:cs="Times New Roman"/>
          <w:lang w:eastAsia="en-GB"/>
        </w:rPr>
        <w:t xml:space="preserve">ent reviews and leases that are due to expire in any financial year. As a result, the indicative rental budgets can be produced accordingly. </w:t>
      </w:r>
    </w:p>
    <w:p w14:paraId="40026C35" w14:textId="77777777" w:rsidR="00EA5206" w:rsidRDefault="00EA5206" w:rsidP="00EA5206">
      <w:pPr>
        <w:jc w:val="both"/>
        <w:rPr>
          <w:rFonts w:eastAsia="Times New Roman" w:cs="Times New Roman"/>
          <w:lang w:eastAsia="en-GB"/>
        </w:rPr>
      </w:pPr>
    </w:p>
    <w:p w14:paraId="207808AB" w14:textId="39247B71" w:rsidR="00EA5206" w:rsidRPr="00EA5206" w:rsidRDefault="00EA5206" w:rsidP="00EA5206">
      <w:pPr>
        <w:jc w:val="both"/>
        <w:rPr>
          <w:rFonts w:eastAsia="Times New Roman" w:cs="Times New Roman"/>
          <w:lang w:eastAsia="en-GB"/>
        </w:rPr>
      </w:pPr>
      <w:r w:rsidRPr="00EA5206">
        <w:rPr>
          <w:rFonts w:eastAsia="Times New Roman" w:cs="Times New Roman"/>
          <w:lang w:eastAsia="en-GB"/>
        </w:rPr>
        <w:t xml:space="preserve">The process of ascertaining the lease and licence expiry dates will assist in reducing voids. </w:t>
      </w:r>
      <w:r w:rsidR="00856253">
        <w:rPr>
          <w:rFonts w:eastAsia="Times New Roman" w:cs="Times New Roman"/>
          <w:lang w:eastAsia="en-GB"/>
        </w:rPr>
        <w:t xml:space="preserve">A </w:t>
      </w:r>
      <w:r w:rsidRPr="00EA5206">
        <w:rPr>
          <w:rFonts w:eastAsia="Times New Roman" w:cs="Times New Roman"/>
          <w:lang w:eastAsia="en-GB"/>
        </w:rPr>
        <w:t>complete and consistent  management plan is in place to ensure that when a lease/licence is due to expire (preferably 9-12 months in advance) appropriate pro-active steps are adopted</w:t>
      </w:r>
      <w:r w:rsidR="00856253">
        <w:rPr>
          <w:rFonts w:eastAsia="Times New Roman" w:cs="Times New Roman"/>
          <w:lang w:eastAsia="en-GB"/>
        </w:rPr>
        <w:t>.  Th</w:t>
      </w:r>
      <w:r w:rsidR="006718A6">
        <w:rPr>
          <w:rFonts w:eastAsia="Times New Roman" w:cs="Times New Roman"/>
          <w:lang w:eastAsia="en-GB"/>
        </w:rPr>
        <w:t>i</w:t>
      </w:r>
      <w:r w:rsidR="00856253">
        <w:rPr>
          <w:rFonts w:eastAsia="Times New Roman" w:cs="Times New Roman"/>
          <w:lang w:eastAsia="en-GB"/>
        </w:rPr>
        <w:t xml:space="preserve">s includes </w:t>
      </w:r>
      <w:r w:rsidRPr="00EA5206">
        <w:rPr>
          <w:rFonts w:eastAsia="Times New Roman" w:cs="Times New Roman"/>
          <w:lang w:eastAsia="en-GB"/>
        </w:rPr>
        <w:t>formally notify</w:t>
      </w:r>
      <w:r w:rsidR="006718A6">
        <w:rPr>
          <w:rFonts w:eastAsia="Times New Roman" w:cs="Times New Roman"/>
          <w:lang w:eastAsia="en-GB"/>
        </w:rPr>
        <w:t>ing</w:t>
      </w:r>
      <w:r w:rsidRPr="00EA5206">
        <w:rPr>
          <w:rFonts w:eastAsia="Times New Roman" w:cs="Times New Roman"/>
          <w:lang w:eastAsia="en-GB"/>
        </w:rPr>
        <w:t xml:space="preserve"> a tenant to </w:t>
      </w:r>
      <w:r w:rsidR="00856253">
        <w:rPr>
          <w:rFonts w:eastAsia="Times New Roman" w:cs="Times New Roman"/>
          <w:lang w:eastAsia="en-GB"/>
        </w:rPr>
        <w:t xml:space="preserve">determine </w:t>
      </w:r>
      <w:r w:rsidRPr="00EA5206">
        <w:rPr>
          <w:rFonts w:eastAsia="Times New Roman" w:cs="Times New Roman"/>
          <w:lang w:eastAsia="en-GB"/>
        </w:rPr>
        <w:t>whether they intend to renew their lease</w:t>
      </w:r>
      <w:r w:rsidR="00856253">
        <w:rPr>
          <w:rFonts w:eastAsia="Times New Roman" w:cs="Times New Roman"/>
          <w:lang w:eastAsia="en-GB"/>
        </w:rPr>
        <w:t>,</w:t>
      </w:r>
      <w:r w:rsidRPr="00EA5206">
        <w:rPr>
          <w:rFonts w:eastAsia="Times New Roman" w:cs="Times New Roman"/>
          <w:lang w:eastAsia="en-GB"/>
        </w:rPr>
        <w:t xml:space="preserve"> or if we are entitled to seek vacant possession </w:t>
      </w:r>
      <w:r w:rsidR="00856253">
        <w:rPr>
          <w:rFonts w:eastAsia="Times New Roman" w:cs="Times New Roman"/>
          <w:lang w:eastAsia="en-GB"/>
        </w:rPr>
        <w:t xml:space="preserve">marketing the property prior to expiration or putting in plans </w:t>
      </w:r>
      <w:r w:rsidRPr="00EA5206">
        <w:rPr>
          <w:rFonts w:eastAsia="Times New Roman" w:cs="Times New Roman"/>
          <w:lang w:eastAsia="en-GB"/>
        </w:rPr>
        <w:t xml:space="preserve">for redevelopment. </w:t>
      </w:r>
    </w:p>
    <w:p w14:paraId="2935FB01" w14:textId="59C0782B" w:rsidR="00EA5206" w:rsidRPr="00EA5206" w:rsidRDefault="00EA5206" w:rsidP="00A00768">
      <w:pPr>
        <w:jc w:val="both"/>
        <w:rPr>
          <w:rFonts w:eastAsia="Times New Roman" w:cs="Times New Roman"/>
          <w:lang w:eastAsia="en-GB"/>
        </w:rPr>
      </w:pPr>
    </w:p>
    <w:p w14:paraId="4FFD25CD" w14:textId="0DA5ED85" w:rsidR="00E231F9" w:rsidRPr="005B724A" w:rsidRDefault="00E231F9" w:rsidP="00E231F9">
      <w:pPr>
        <w:jc w:val="both"/>
        <w:rPr>
          <w:rFonts w:eastAsia="Times New Roman"/>
          <w:lang w:eastAsia="en-GB"/>
        </w:rPr>
      </w:pPr>
      <w:r w:rsidRPr="005B724A">
        <w:rPr>
          <w:rFonts w:eastAsia="Times New Roman"/>
          <w:lang w:eastAsia="en-GB"/>
        </w:rPr>
        <w:t xml:space="preserve">The prioritisation of rent arrears and rent recovery requires a consistent corporate approach. The focus is to ensure rental income is maximised, a debt recovery culture is established. The main three objectives should be to reduce the debt </w:t>
      </w:r>
      <w:r w:rsidR="00016D85" w:rsidRPr="005B724A">
        <w:rPr>
          <w:rFonts w:eastAsia="Times New Roman"/>
          <w:lang w:eastAsia="en-GB"/>
        </w:rPr>
        <w:t>owed</w:t>
      </w:r>
      <w:r w:rsidRPr="005B724A">
        <w:rPr>
          <w:rFonts w:eastAsia="Times New Roman"/>
          <w:lang w:eastAsia="en-GB"/>
        </w:rPr>
        <w:t xml:space="preserve"> to the Council, from both previous and current tenants; to outperform the KPIs and promote a stronger payment culture through the portfolio. </w:t>
      </w:r>
    </w:p>
    <w:p w14:paraId="3DA00FFA" w14:textId="77777777" w:rsidR="00E231F9" w:rsidRPr="005B724A" w:rsidRDefault="00E231F9" w:rsidP="00E231F9">
      <w:pPr>
        <w:jc w:val="both"/>
        <w:rPr>
          <w:rFonts w:eastAsia="Times New Roman"/>
          <w:lang w:eastAsia="en-GB"/>
        </w:rPr>
      </w:pPr>
    </w:p>
    <w:p w14:paraId="4091AFE1" w14:textId="77777777" w:rsidR="00E231F9" w:rsidRPr="004005D2" w:rsidRDefault="00E231F9" w:rsidP="00E231F9">
      <w:pPr>
        <w:jc w:val="both"/>
        <w:rPr>
          <w:rFonts w:eastAsia="Times New Roman"/>
          <w:lang w:eastAsia="en-GB"/>
        </w:rPr>
      </w:pPr>
      <w:r w:rsidRPr="005B724A">
        <w:rPr>
          <w:rFonts w:eastAsia="Times New Roman"/>
          <w:lang w:eastAsia="en-GB"/>
        </w:rPr>
        <w:t xml:space="preserve">In accordance with the Council’s standard tenancy agreement, the incoming Tenant has a responsibility to pay rent to the Council on time. This is, however, not always the case. The current outstanding debt for the commercial </w:t>
      </w:r>
      <w:r w:rsidRPr="004005D2">
        <w:rPr>
          <w:rFonts w:eastAsia="Times New Roman"/>
          <w:lang w:eastAsia="en-GB"/>
        </w:rPr>
        <w:t xml:space="preserve">estate (general fund) is £312k over the period of 0 – 901+ days. </w:t>
      </w:r>
    </w:p>
    <w:p w14:paraId="30151E36" w14:textId="77777777" w:rsidR="00E231F9" w:rsidRPr="004005D2" w:rsidRDefault="00E231F9" w:rsidP="00E231F9">
      <w:pPr>
        <w:jc w:val="both"/>
        <w:rPr>
          <w:rFonts w:eastAsia="Times New Roman"/>
          <w:lang w:eastAsia="en-GB"/>
        </w:rPr>
      </w:pPr>
    </w:p>
    <w:p w14:paraId="3534BE6E" w14:textId="3195B134" w:rsidR="00E231F9" w:rsidRPr="005B724A" w:rsidRDefault="00BF3432" w:rsidP="00E231F9">
      <w:pPr>
        <w:jc w:val="both"/>
        <w:rPr>
          <w:rFonts w:eastAsia="Times New Roman"/>
          <w:lang w:eastAsia="en-GB"/>
        </w:rPr>
      </w:pPr>
      <w:r w:rsidRPr="004005D2">
        <w:rPr>
          <w:rFonts w:eastAsia="Times New Roman"/>
          <w:lang w:eastAsia="en-GB"/>
        </w:rPr>
        <w:t xml:space="preserve">The annual rent roll is circa £640k, therefore the average outstanding debt for the rolling 12 month period of £185k represents 30% of the annual rent roll.  </w:t>
      </w:r>
      <w:r w:rsidR="00E231F9" w:rsidRPr="004005D2">
        <w:rPr>
          <w:rFonts w:eastAsia="Times New Roman"/>
          <w:lang w:eastAsia="en-GB"/>
        </w:rPr>
        <w:t>Through the introduction of direct debit payments for commercial properties and improved processes for the chasing and collection of aged debt it is assumed that outstanding debt can be reduced by an average of 30%.</w:t>
      </w:r>
    </w:p>
    <w:p w14:paraId="437A605F" w14:textId="77777777" w:rsidR="00E231F9" w:rsidRPr="005B724A" w:rsidRDefault="00E231F9" w:rsidP="00E231F9">
      <w:pPr>
        <w:jc w:val="both"/>
        <w:rPr>
          <w:rFonts w:eastAsia="Times New Roman"/>
          <w:lang w:eastAsia="en-GB"/>
        </w:rPr>
      </w:pPr>
    </w:p>
    <w:p w14:paraId="5E3FE2E4" w14:textId="33A3756E" w:rsidR="00E231F9" w:rsidRPr="005B724A" w:rsidRDefault="00E231F9" w:rsidP="00E231F9">
      <w:pPr>
        <w:jc w:val="both"/>
        <w:rPr>
          <w:rFonts w:eastAsia="Times New Roman" w:cs="ArialMT"/>
          <w:lang w:eastAsia="en-GB"/>
        </w:rPr>
      </w:pPr>
      <w:r>
        <w:rPr>
          <w:rFonts w:eastAsia="Times New Roman" w:cs="ArialMT"/>
          <w:lang w:eastAsia="en-GB"/>
        </w:rPr>
        <w:t>A proactive approach to income collection will</w:t>
      </w:r>
    </w:p>
    <w:p w14:paraId="53F0251C"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P</w:t>
      </w:r>
      <w:r w:rsidRPr="005B724A">
        <w:rPr>
          <w:rFonts w:eastAsia="Times New Roman" w:cs="ArialMT"/>
          <w:lang w:eastAsia="en-GB"/>
        </w:rPr>
        <w:t xml:space="preserve">rovide tenants with clear information about rent and other charges throughout their tenancy; </w:t>
      </w:r>
    </w:p>
    <w:p w14:paraId="3ECC8CAC" w14:textId="56935C51"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S</w:t>
      </w:r>
      <w:r w:rsidRPr="005B724A">
        <w:rPr>
          <w:rFonts w:eastAsia="Times New Roman" w:cs="ArialMT"/>
          <w:lang w:eastAsia="en-GB"/>
        </w:rPr>
        <w:t>et up all rental payments, including service charge, by Direct Debit and ensure that it is easy for tenants to</w:t>
      </w:r>
      <w:r w:rsidR="00146C41">
        <w:rPr>
          <w:rFonts w:eastAsia="Times New Roman" w:cs="ArialMT"/>
          <w:lang w:eastAsia="en-GB"/>
        </w:rPr>
        <w:t xml:space="preserve"> understand the process</w:t>
      </w:r>
      <w:r w:rsidRPr="005B724A">
        <w:rPr>
          <w:rFonts w:eastAsia="Times New Roman" w:cs="ArialMT"/>
          <w:lang w:eastAsia="en-GB"/>
        </w:rPr>
        <w:t xml:space="preserve">; </w:t>
      </w:r>
    </w:p>
    <w:p w14:paraId="483D72BB"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M</w:t>
      </w:r>
      <w:r w:rsidRPr="005B724A">
        <w:rPr>
          <w:rFonts w:eastAsia="Times New Roman" w:cs="ArialMT"/>
          <w:lang w:eastAsia="en-GB"/>
        </w:rPr>
        <w:t>aximise the collection of income and minimise any outstanding debts;</w:t>
      </w:r>
    </w:p>
    <w:p w14:paraId="78675E60"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H</w:t>
      </w:r>
      <w:r w:rsidRPr="005B724A">
        <w:rPr>
          <w:rFonts w:eastAsia="Times New Roman" w:cs="ArialMT"/>
          <w:lang w:eastAsia="en-GB"/>
        </w:rPr>
        <w:t xml:space="preserve">ave effective and fair procedures in place to take early actions before debts accumulates further; </w:t>
      </w:r>
    </w:p>
    <w:p w14:paraId="309C7F0A"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S</w:t>
      </w:r>
      <w:r w:rsidRPr="005B724A">
        <w:rPr>
          <w:rFonts w:eastAsia="Times New Roman" w:cs="ArialMT"/>
          <w:lang w:eastAsia="en-GB"/>
        </w:rPr>
        <w:t xml:space="preserve">et up the timing on when the legal action is to take place and when bailiffs are to be sent out, if necessary as a last resort if debt recovery is unsuccessful; </w:t>
      </w:r>
    </w:p>
    <w:p w14:paraId="7EC26757"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A</w:t>
      </w:r>
      <w:r w:rsidRPr="005B724A">
        <w:rPr>
          <w:rFonts w:eastAsia="Times New Roman" w:cs="ArialMT"/>
          <w:lang w:eastAsia="en-GB"/>
        </w:rPr>
        <w:t>gree fair and satisfactory repayment arrangements and plans with the tenants;</w:t>
      </w:r>
    </w:p>
    <w:p w14:paraId="0303641A"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E</w:t>
      </w:r>
      <w:r w:rsidRPr="005B724A">
        <w:rPr>
          <w:rFonts w:eastAsia="Times New Roman" w:cs="ArialMT"/>
          <w:lang w:eastAsia="en-GB"/>
        </w:rPr>
        <w:t xml:space="preserve">nsure that there are internal policies on sustaining leases and existing tenants; </w:t>
      </w:r>
    </w:p>
    <w:p w14:paraId="3423F7B6" w14:textId="77777777" w:rsidR="00E231F9" w:rsidRPr="005B724A" w:rsidRDefault="00E231F9" w:rsidP="00C1048E">
      <w:pPr>
        <w:numPr>
          <w:ilvl w:val="0"/>
          <w:numId w:val="3"/>
        </w:numPr>
        <w:autoSpaceDE w:val="0"/>
        <w:autoSpaceDN w:val="0"/>
        <w:adjustRightInd w:val="0"/>
        <w:jc w:val="both"/>
        <w:rPr>
          <w:rFonts w:eastAsia="Times New Roman" w:cs="ArialMT"/>
          <w:lang w:eastAsia="en-GB"/>
        </w:rPr>
      </w:pPr>
      <w:r>
        <w:rPr>
          <w:rFonts w:eastAsia="Times New Roman" w:cs="ArialMT"/>
          <w:lang w:eastAsia="en-GB"/>
        </w:rPr>
        <w:t>A</w:t>
      </w:r>
      <w:r w:rsidRPr="005B724A">
        <w:rPr>
          <w:rFonts w:eastAsia="Times New Roman" w:cs="ArialMT"/>
          <w:lang w:eastAsia="en-GB"/>
        </w:rPr>
        <w:t>dopt best practice and have benchmarks in place.</w:t>
      </w:r>
    </w:p>
    <w:p w14:paraId="62E2D8C9" w14:textId="77777777" w:rsidR="00E231F9" w:rsidRPr="005B724A" w:rsidRDefault="00E231F9" w:rsidP="00E231F9">
      <w:pPr>
        <w:jc w:val="both"/>
        <w:rPr>
          <w:rFonts w:eastAsia="Times New Roman"/>
          <w:lang w:eastAsia="en-GB"/>
        </w:rPr>
      </w:pPr>
    </w:p>
    <w:p w14:paraId="4ED76ECD" w14:textId="1FBDBD2F" w:rsidR="00627850" w:rsidRPr="00B92D19" w:rsidRDefault="001552BC" w:rsidP="00B92D19">
      <w:pPr>
        <w:autoSpaceDE w:val="0"/>
        <w:autoSpaceDN w:val="0"/>
        <w:adjustRightInd w:val="0"/>
        <w:jc w:val="both"/>
        <w:rPr>
          <w:rFonts w:eastAsia="Times New Roman" w:cs="ArialMT"/>
          <w:lang w:eastAsia="en-GB"/>
        </w:rPr>
      </w:pPr>
      <w:r>
        <w:rPr>
          <w:rFonts w:eastAsia="Times New Roman" w:cs="ArialMT"/>
          <w:lang w:eastAsia="en-GB"/>
        </w:rPr>
        <w:t>Our a</w:t>
      </w:r>
      <w:r w:rsidR="00627850" w:rsidRPr="005B724A">
        <w:rPr>
          <w:rFonts w:eastAsia="Times New Roman" w:cs="ArialMT"/>
          <w:lang w:eastAsia="en-GB"/>
        </w:rPr>
        <w:t>pproach will be proactive in minimis</w:t>
      </w:r>
      <w:r>
        <w:rPr>
          <w:rFonts w:eastAsia="Times New Roman" w:cs="ArialMT"/>
          <w:lang w:eastAsia="en-GB"/>
        </w:rPr>
        <w:t>ing</w:t>
      </w:r>
      <w:r w:rsidR="00627850" w:rsidRPr="005B724A">
        <w:rPr>
          <w:rFonts w:eastAsia="Times New Roman" w:cs="ArialMT"/>
          <w:lang w:eastAsia="en-GB"/>
        </w:rPr>
        <w:t xml:space="preserve"> debt with the procedures to be reviewed annually. On-going monitoring and prompt written notifications will help to develop a culture of good payments, providing all of the existing and incoming tenants with clear information on their rental ob</w:t>
      </w:r>
      <w:r w:rsidR="00B92D19">
        <w:rPr>
          <w:rFonts w:eastAsia="Times New Roman" w:cs="ArialMT"/>
          <w:lang w:eastAsia="en-GB"/>
        </w:rPr>
        <w:t xml:space="preserve">ligations and repayment plans. </w:t>
      </w:r>
      <w:r w:rsidR="00627850" w:rsidRPr="005B724A">
        <w:rPr>
          <w:rFonts w:eastAsia="Calibri" w:cs="Arial"/>
        </w:rPr>
        <w:t xml:space="preserve">The objective is also </w:t>
      </w:r>
      <w:r>
        <w:rPr>
          <w:rFonts w:eastAsia="Calibri" w:cs="Arial"/>
        </w:rPr>
        <w:t xml:space="preserve">to </w:t>
      </w:r>
      <w:r w:rsidR="00627850" w:rsidRPr="005B724A">
        <w:rPr>
          <w:rFonts w:eastAsia="Calibri" w:cs="Arial"/>
        </w:rPr>
        <w:t xml:space="preserve">maintain top quartile current rent arrears performance against other local authorities. </w:t>
      </w:r>
    </w:p>
    <w:p w14:paraId="4CA99E85" w14:textId="77777777" w:rsidR="00E231F9" w:rsidRDefault="00E231F9" w:rsidP="000E6FFD">
      <w:pPr>
        <w:jc w:val="both"/>
        <w:rPr>
          <w:rFonts w:eastAsia="Times New Roman"/>
        </w:rPr>
      </w:pPr>
    </w:p>
    <w:p w14:paraId="26257111" w14:textId="77777777" w:rsidR="007E04E9" w:rsidRDefault="007E04E9" w:rsidP="000E6FFD">
      <w:pPr>
        <w:jc w:val="both"/>
        <w:rPr>
          <w:rFonts w:eastAsia="Times New Roman"/>
        </w:rPr>
      </w:pPr>
    </w:p>
    <w:p w14:paraId="137E34A9" w14:textId="77777777" w:rsidR="00856253" w:rsidRDefault="00856253" w:rsidP="00DF5976">
      <w:pPr>
        <w:rPr>
          <w:b/>
          <w:bCs/>
          <w:sz w:val="28"/>
          <w:szCs w:val="28"/>
          <w:highlight w:val="lightGray"/>
        </w:rPr>
      </w:pPr>
    </w:p>
    <w:p w14:paraId="0795CBE0" w14:textId="77777777" w:rsidR="00856253" w:rsidRDefault="00856253">
      <w:pPr>
        <w:spacing w:after="200" w:line="276" w:lineRule="auto"/>
        <w:rPr>
          <w:b/>
          <w:bCs/>
          <w:sz w:val="28"/>
          <w:szCs w:val="28"/>
          <w:highlight w:val="lightGray"/>
        </w:rPr>
      </w:pPr>
      <w:r>
        <w:rPr>
          <w:b/>
          <w:bCs/>
          <w:sz w:val="28"/>
          <w:szCs w:val="28"/>
          <w:highlight w:val="lightGray"/>
        </w:rPr>
        <w:br w:type="page"/>
      </w:r>
    </w:p>
    <w:p w14:paraId="0C07C8B6" w14:textId="61B5694E" w:rsidR="00DF5976" w:rsidRPr="005B724A" w:rsidRDefault="005F311C" w:rsidP="00DF5976">
      <w:pPr>
        <w:rPr>
          <w:b/>
          <w:bCs/>
          <w:sz w:val="28"/>
          <w:szCs w:val="28"/>
        </w:rPr>
      </w:pPr>
      <w:r>
        <w:rPr>
          <w:b/>
          <w:bCs/>
          <w:sz w:val="28"/>
          <w:szCs w:val="28"/>
          <w:highlight w:val="lightGray"/>
        </w:rPr>
        <w:lastRenderedPageBreak/>
        <w:t>4</w:t>
      </w:r>
      <w:r w:rsidR="00A249E0" w:rsidRPr="005B724A">
        <w:rPr>
          <w:b/>
          <w:bCs/>
          <w:sz w:val="28"/>
          <w:szCs w:val="28"/>
          <w:highlight w:val="lightGray"/>
        </w:rPr>
        <w:t>)</w:t>
      </w:r>
      <w:r w:rsidR="00A249E0" w:rsidRPr="005B724A">
        <w:rPr>
          <w:b/>
          <w:bCs/>
          <w:sz w:val="28"/>
          <w:szCs w:val="28"/>
          <w:highlight w:val="lightGray"/>
        </w:rPr>
        <w:tab/>
        <w:t>DELIVERY</w:t>
      </w:r>
      <w:r w:rsidR="00A249E0" w:rsidRPr="005B724A">
        <w:rPr>
          <w:b/>
          <w:bCs/>
          <w:sz w:val="28"/>
          <w:szCs w:val="28"/>
        </w:rPr>
        <w:t xml:space="preserve"> </w:t>
      </w:r>
    </w:p>
    <w:p w14:paraId="30D54ADA" w14:textId="77777777" w:rsidR="00253875" w:rsidRDefault="00253875" w:rsidP="00253875"/>
    <w:p w14:paraId="7B376B93" w14:textId="62084595" w:rsidR="00253875" w:rsidRDefault="00253875" w:rsidP="00253875">
      <w:r w:rsidRPr="005B724A">
        <w:t xml:space="preserve">The following seeks to distil the array of </w:t>
      </w:r>
      <w:r>
        <w:t xml:space="preserve">activity described in the asset management and accommodation </w:t>
      </w:r>
      <w:r w:rsidR="00BF3432">
        <w:t>strategy into</w:t>
      </w:r>
      <w:r w:rsidRPr="005B724A">
        <w:t xml:space="preserve"> a set of central strands of work underpinned by a smart set of key performance indicators and a robust analysis of the risks.</w:t>
      </w:r>
    </w:p>
    <w:p w14:paraId="61F3B9C1" w14:textId="77777777" w:rsidR="00DF5976" w:rsidRDefault="00DF5976" w:rsidP="00DF5976"/>
    <w:p w14:paraId="4B1FA67E" w14:textId="4258FC8A" w:rsidR="00DF5976" w:rsidRPr="00160C74" w:rsidRDefault="005F311C" w:rsidP="00DF5976">
      <w:pPr>
        <w:rPr>
          <w:b/>
          <w:sz w:val="24"/>
          <w:szCs w:val="24"/>
        </w:rPr>
      </w:pPr>
      <w:r w:rsidRPr="00160C74">
        <w:rPr>
          <w:b/>
          <w:sz w:val="24"/>
          <w:szCs w:val="24"/>
        </w:rPr>
        <w:t>4</w:t>
      </w:r>
      <w:r w:rsidR="00B16DB0" w:rsidRPr="00160C74">
        <w:rPr>
          <w:b/>
          <w:sz w:val="24"/>
          <w:szCs w:val="24"/>
        </w:rPr>
        <w:t>.</w:t>
      </w:r>
      <w:r w:rsidR="00963A6B" w:rsidRPr="00160C74">
        <w:rPr>
          <w:b/>
          <w:sz w:val="24"/>
          <w:szCs w:val="24"/>
        </w:rPr>
        <w:t>1</w:t>
      </w:r>
      <w:r w:rsidR="00B16DB0" w:rsidRPr="00160C74">
        <w:rPr>
          <w:b/>
          <w:sz w:val="24"/>
          <w:szCs w:val="24"/>
        </w:rPr>
        <w:t xml:space="preserve"> </w:t>
      </w:r>
      <w:r w:rsidR="00B16DB0" w:rsidRPr="00160C74">
        <w:rPr>
          <w:b/>
          <w:sz w:val="24"/>
          <w:szCs w:val="24"/>
        </w:rPr>
        <w:tab/>
      </w:r>
      <w:r w:rsidR="00963A6B" w:rsidRPr="00160C74">
        <w:rPr>
          <w:b/>
          <w:sz w:val="24"/>
          <w:szCs w:val="24"/>
        </w:rPr>
        <w:t>Outcomes, w</w:t>
      </w:r>
      <w:r w:rsidR="008454FE" w:rsidRPr="00160C74">
        <w:rPr>
          <w:b/>
          <w:sz w:val="24"/>
          <w:szCs w:val="24"/>
        </w:rPr>
        <w:t>ork strands</w:t>
      </w:r>
      <w:r w:rsidR="00963A6B" w:rsidRPr="00160C74">
        <w:rPr>
          <w:b/>
          <w:sz w:val="24"/>
          <w:szCs w:val="24"/>
        </w:rPr>
        <w:t xml:space="preserve"> and projects</w:t>
      </w:r>
    </w:p>
    <w:p w14:paraId="68C16186" w14:textId="77777777" w:rsidR="00B16DB0" w:rsidRPr="005B724A" w:rsidRDefault="00B16DB0" w:rsidP="00DF5976"/>
    <w:p w14:paraId="2F7FC587" w14:textId="2867C6A1" w:rsidR="003D3AB9" w:rsidRPr="005B724A" w:rsidRDefault="003D3AB9" w:rsidP="00DF5976">
      <w:r>
        <w:t xml:space="preserve">There are four interlinked objectives driving the </w:t>
      </w:r>
      <w:r w:rsidRPr="003D3AB9">
        <w:t xml:space="preserve">range of activities and work strands in progress and to be delivered over the coming years.  </w:t>
      </w:r>
      <w:r>
        <w:t>These are</w:t>
      </w:r>
      <w:r w:rsidR="00386D5A">
        <w:t>:</w:t>
      </w:r>
    </w:p>
    <w:p w14:paraId="691174C6" w14:textId="77777777" w:rsidR="0057733C" w:rsidRPr="0057733C" w:rsidRDefault="0057733C" w:rsidP="00C1048E">
      <w:pPr>
        <w:numPr>
          <w:ilvl w:val="0"/>
          <w:numId w:val="17"/>
        </w:numPr>
      </w:pPr>
      <w:r w:rsidRPr="0057733C">
        <w:t>Increasing the level of income generated by the Council’s assets</w:t>
      </w:r>
    </w:p>
    <w:p w14:paraId="5DB9AFD6" w14:textId="77777777" w:rsidR="0057733C" w:rsidRPr="0057733C" w:rsidRDefault="0057733C" w:rsidP="00C1048E">
      <w:pPr>
        <w:numPr>
          <w:ilvl w:val="0"/>
          <w:numId w:val="17"/>
        </w:numPr>
      </w:pPr>
      <w:r w:rsidRPr="0057733C">
        <w:t>Reducing expenditure associated with the Council’s assets</w:t>
      </w:r>
    </w:p>
    <w:p w14:paraId="379B91C4" w14:textId="77777777" w:rsidR="0057733C" w:rsidRPr="0057733C" w:rsidRDefault="0057733C" w:rsidP="00C1048E">
      <w:pPr>
        <w:numPr>
          <w:ilvl w:val="0"/>
          <w:numId w:val="17"/>
        </w:numPr>
      </w:pPr>
      <w:r w:rsidRPr="0057733C">
        <w:t>Improving the quality of services delivered by the corporate asset function</w:t>
      </w:r>
    </w:p>
    <w:p w14:paraId="6633CAB1" w14:textId="77777777" w:rsidR="0057733C" w:rsidRPr="0057733C" w:rsidRDefault="0057733C" w:rsidP="00C1048E">
      <w:pPr>
        <w:numPr>
          <w:ilvl w:val="0"/>
          <w:numId w:val="17"/>
        </w:numPr>
      </w:pPr>
      <w:r w:rsidRPr="0057733C">
        <w:t>Compliance with regulation and responsiveness to risk</w:t>
      </w:r>
    </w:p>
    <w:p w14:paraId="56536186" w14:textId="77777777" w:rsidR="00B16DB0" w:rsidRDefault="00B16DB0" w:rsidP="00DF5976"/>
    <w:p w14:paraId="2889C195" w14:textId="51403CC2" w:rsidR="00386D5A" w:rsidRDefault="00386D5A" w:rsidP="00DF5976">
      <w:r>
        <w:t xml:space="preserve">There are a number of core work strands that are planned and underway aimed at delivering on these objectives.  These work stands have been described throughout the body of this Strategic Asset Management Plan.  The following table shows where these in the document these are described and what they are intended to deliver. </w:t>
      </w:r>
    </w:p>
    <w:p w14:paraId="0E3D7921" w14:textId="77777777" w:rsidR="00386D5A" w:rsidRDefault="00386D5A" w:rsidP="00DF5976"/>
    <w:tbl>
      <w:tblPr>
        <w:tblStyle w:val="TableGrid1"/>
        <w:tblW w:w="0" w:type="auto"/>
        <w:tblLook w:val="04A0" w:firstRow="1" w:lastRow="0" w:firstColumn="1" w:lastColumn="0" w:noHBand="0" w:noVBand="1"/>
      </w:tblPr>
      <w:tblGrid>
        <w:gridCol w:w="2461"/>
        <w:gridCol w:w="8221"/>
      </w:tblGrid>
      <w:tr w:rsidR="00386D5A" w:rsidRPr="00763896" w14:paraId="753B51A6" w14:textId="77777777" w:rsidTr="00CD179D">
        <w:tc>
          <w:tcPr>
            <w:tcW w:w="0" w:type="auto"/>
            <w:tcBorders>
              <w:top w:val="single" w:sz="24" w:space="0" w:color="auto"/>
              <w:left w:val="single" w:sz="24" w:space="0" w:color="auto"/>
              <w:bottom w:val="single" w:sz="24" w:space="0" w:color="auto"/>
            </w:tcBorders>
            <w:shd w:val="clear" w:color="auto" w:fill="FFFFFF" w:themeFill="background1"/>
            <w:vAlign w:val="center"/>
          </w:tcPr>
          <w:p w14:paraId="0D2FC423" w14:textId="77777777" w:rsidR="00386D5A" w:rsidRPr="00763896" w:rsidRDefault="00386D5A" w:rsidP="00CD179D">
            <w:pPr>
              <w:rPr>
                <w:rFonts w:asciiTheme="minorHAnsi" w:hAnsiTheme="minorHAnsi" w:cstheme="minorBidi"/>
                <w:sz w:val="32"/>
                <w:szCs w:val="32"/>
              </w:rPr>
            </w:pPr>
            <w:r w:rsidRPr="00763896">
              <w:rPr>
                <w:rFonts w:asciiTheme="minorHAnsi" w:hAnsiTheme="minorHAnsi" w:cstheme="minorBidi"/>
                <w:sz w:val="32"/>
                <w:szCs w:val="32"/>
              </w:rPr>
              <w:t>Work strands</w:t>
            </w:r>
          </w:p>
        </w:tc>
        <w:tc>
          <w:tcPr>
            <w:tcW w:w="0" w:type="auto"/>
            <w:tcBorders>
              <w:top w:val="single" w:sz="24" w:space="0" w:color="auto"/>
              <w:bottom w:val="single" w:sz="24" w:space="0" w:color="auto"/>
              <w:right w:val="single" w:sz="24" w:space="0" w:color="auto"/>
            </w:tcBorders>
            <w:shd w:val="clear" w:color="auto" w:fill="FFFFFF" w:themeFill="background1"/>
            <w:vAlign w:val="center"/>
          </w:tcPr>
          <w:p w14:paraId="7C84298F" w14:textId="77777777" w:rsidR="00386D5A" w:rsidRPr="00763896" w:rsidRDefault="00386D5A" w:rsidP="00CD179D">
            <w:pPr>
              <w:jc w:val="center"/>
              <w:rPr>
                <w:rFonts w:asciiTheme="minorHAnsi" w:hAnsiTheme="minorHAnsi" w:cstheme="minorBidi"/>
                <w:i/>
                <w:sz w:val="32"/>
                <w:szCs w:val="32"/>
              </w:rPr>
            </w:pPr>
            <w:r w:rsidRPr="00763896">
              <w:rPr>
                <w:rFonts w:asciiTheme="minorHAnsi" w:hAnsiTheme="minorHAnsi" w:cstheme="minorBidi"/>
                <w:i/>
                <w:sz w:val="32"/>
                <w:szCs w:val="32"/>
              </w:rPr>
              <w:t>What success looks like</w:t>
            </w:r>
          </w:p>
        </w:tc>
      </w:tr>
      <w:tr w:rsidR="00386D5A" w:rsidRPr="00763896" w14:paraId="5D683BA0" w14:textId="77777777" w:rsidTr="000834B6">
        <w:tc>
          <w:tcPr>
            <w:tcW w:w="0" w:type="auto"/>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FB8537F" w14:textId="2349E674" w:rsidR="00386D5A" w:rsidRPr="00763896" w:rsidRDefault="000834B6" w:rsidP="000834B6">
            <w:pPr>
              <w:jc w:val="center"/>
              <w:rPr>
                <w:rFonts w:asciiTheme="minorHAnsi" w:hAnsiTheme="minorHAnsi" w:cstheme="minorBidi"/>
                <w:i/>
                <w:sz w:val="28"/>
                <w:szCs w:val="28"/>
              </w:rPr>
            </w:pPr>
            <w:r>
              <w:rPr>
                <w:rFonts w:asciiTheme="minorHAnsi" w:hAnsiTheme="minorHAnsi" w:cstheme="minorBidi"/>
                <w:i/>
                <w:sz w:val="28"/>
                <w:szCs w:val="28"/>
              </w:rPr>
              <w:t xml:space="preserve">Effective management of </w:t>
            </w:r>
            <w:r w:rsidR="00386D5A" w:rsidRPr="00763896">
              <w:rPr>
                <w:rFonts w:asciiTheme="minorHAnsi" w:hAnsiTheme="minorHAnsi" w:cstheme="minorBidi"/>
                <w:i/>
                <w:sz w:val="28"/>
                <w:szCs w:val="28"/>
              </w:rPr>
              <w:t>assets</w:t>
            </w:r>
          </w:p>
        </w:tc>
      </w:tr>
      <w:tr w:rsidR="00386D5A" w:rsidRPr="002A50EC" w14:paraId="3DCBB06A" w14:textId="77777777" w:rsidTr="000834B6">
        <w:tc>
          <w:tcPr>
            <w:tcW w:w="0" w:type="auto"/>
            <w:tcBorders>
              <w:top w:val="single" w:sz="24" w:space="0" w:color="auto"/>
              <w:left w:val="single" w:sz="24" w:space="0" w:color="auto"/>
              <w:bottom w:val="single" w:sz="4" w:space="0" w:color="auto"/>
            </w:tcBorders>
            <w:vAlign w:val="center"/>
          </w:tcPr>
          <w:p w14:paraId="4E255572"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Data capture, storage and analysis</w:t>
            </w:r>
          </w:p>
        </w:tc>
        <w:tc>
          <w:tcPr>
            <w:tcW w:w="0" w:type="auto"/>
            <w:tcBorders>
              <w:top w:val="single" w:sz="24" w:space="0" w:color="auto"/>
              <w:bottom w:val="single" w:sz="4" w:space="0" w:color="auto"/>
              <w:right w:val="single" w:sz="24" w:space="0" w:color="auto"/>
            </w:tcBorders>
            <w:vAlign w:val="center"/>
          </w:tcPr>
          <w:p w14:paraId="094BD8E0"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Embedding a corporate approach to asset-related data that is accurate, consistent and efficient</w:t>
            </w:r>
          </w:p>
        </w:tc>
      </w:tr>
      <w:tr w:rsidR="000834B6" w:rsidRPr="002A50EC" w14:paraId="319C7623" w14:textId="77777777" w:rsidTr="000834B6">
        <w:tc>
          <w:tcPr>
            <w:tcW w:w="0" w:type="auto"/>
            <w:tcBorders>
              <w:top w:val="single" w:sz="4" w:space="0" w:color="auto"/>
              <w:left w:val="single" w:sz="24" w:space="0" w:color="auto"/>
            </w:tcBorders>
            <w:vAlign w:val="center"/>
          </w:tcPr>
          <w:p w14:paraId="752A8ADE" w14:textId="77777777" w:rsidR="000834B6" w:rsidRPr="002A50EC" w:rsidRDefault="000834B6" w:rsidP="00B20193">
            <w:pPr>
              <w:rPr>
                <w:rFonts w:asciiTheme="minorHAnsi" w:hAnsiTheme="minorHAnsi" w:cstheme="minorBidi"/>
              </w:rPr>
            </w:pPr>
            <w:r w:rsidRPr="002A50EC">
              <w:rPr>
                <w:rFonts w:asciiTheme="minorHAnsi" w:hAnsiTheme="minorHAnsi" w:cstheme="minorBidi"/>
              </w:rPr>
              <w:t>Capacity and functions</w:t>
            </w:r>
          </w:p>
        </w:tc>
        <w:tc>
          <w:tcPr>
            <w:tcW w:w="0" w:type="auto"/>
            <w:tcBorders>
              <w:top w:val="single" w:sz="4" w:space="0" w:color="auto"/>
              <w:right w:val="single" w:sz="24" w:space="0" w:color="auto"/>
            </w:tcBorders>
            <w:vAlign w:val="center"/>
          </w:tcPr>
          <w:p w14:paraId="7C1E4DD2" w14:textId="77777777" w:rsidR="000834B6" w:rsidRPr="002A50EC" w:rsidRDefault="000834B6" w:rsidP="00B20193">
            <w:pPr>
              <w:rPr>
                <w:rFonts w:asciiTheme="minorHAnsi" w:hAnsiTheme="minorHAnsi" w:cstheme="minorBidi"/>
                <w:i/>
              </w:rPr>
            </w:pPr>
            <w:r w:rsidRPr="002A50EC">
              <w:rPr>
                <w:rFonts w:asciiTheme="minorHAnsi" w:hAnsiTheme="minorHAnsi" w:cstheme="minorBidi"/>
                <w:i/>
              </w:rPr>
              <w:t>Creating the right alignment of resource within the Council to manage assets effectively and efficiency</w:t>
            </w:r>
          </w:p>
        </w:tc>
      </w:tr>
      <w:tr w:rsidR="00386D5A" w:rsidRPr="002A50EC" w14:paraId="72E43A32" w14:textId="77777777" w:rsidTr="00CD179D">
        <w:tc>
          <w:tcPr>
            <w:tcW w:w="0" w:type="auto"/>
            <w:tcBorders>
              <w:left w:val="single" w:sz="24" w:space="0" w:color="auto"/>
            </w:tcBorders>
            <w:vAlign w:val="center"/>
          </w:tcPr>
          <w:p w14:paraId="4A3B9E56"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Estate management</w:t>
            </w:r>
          </w:p>
        </w:tc>
        <w:tc>
          <w:tcPr>
            <w:tcW w:w="0" w:type="auto"/>
            <w:tcBorders>
              <w:right w:val="single" w:sz="24" w:space="0" w:color="auto"/>
            </w:tcBorders>
            <w:vAlign w:val="center"/>
          </w:tcPr>
          <w:p w14:paraId="6C361C2F"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Using the Council’s assets strategically to create value and managing the estate in a transparent and consistent way</w:t>
            </w:r>
          </w:p>
        </w:tc>
      </w:tr>
      <w:tr w:rsidR="00386D5A" w:rsidRPr="002A50EC" w14:paraId="2086B38D" w14:textId="77777777" w:rsidTr="00CD179D">
        <w:tc>
          <w:tcPr>
            <w:tcW w:w="0" w:type="auto"/>
            <w:tcBorders>
              <w:left w:val="single" w:sz="24" w:space="0" w:color="auto"/>
              <w:bottom w:val="single" w:sz="24" w:space="0" w:color="auto"/>
            </w:tcBorders>
            <w:vAlign w:val="center"/>
          </w:tcPr>
          <w:p w14:paraId="38998B92"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Governance and partnerships</w:t>
            </w:r>
          </w:p>
        </w:tc>
        <w:tc>
          <w:tcPr>
            <w:tcW w:w="0" w:type="auto"/>
            <w:tcBorders>
              <w:bottom w:val="single" w:sz="24" w:space="0" w:color="auto"/>
              <w:right w:val="single" w:sz="24" w:space="0" w:color="auto"/>
            </w:tcBorders>
            <w:vAlign w:val="center"/>
          </w:tcPr>
          <w:p w14:paraId="758C402B"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 xml:space="preserve">A corporate approach to assets that promotes delivery through planning, partnership and collaboration </w:t>
            </w:r>
          </w:p>
        </w:tc>
      </w:tr>
      <w:tr w:rsidR="00386D5A" w:rsidRPr="00763896" w14:paraId="04A535C6" w14:textId="77777777" w:rsidTr="00CD179D">
        <w:tc>
          <w:tcPr>
            <w:tcW w:w="0" w:type="auto"/>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6AA2DA7F" w14:textId="77777777" w:rsidR="00386D5A" w:rsidRPr="00763896" w:rsidRDefault="00386D5A" w:rsidP="00CD179D">
            <w:pPr>
              <w:jc w:val="center"/>
              <w:rPr>
                <w:rFonts w:asciiTheme="minorHAnsi" w:hAnsiTheme="minorHAnsi" w:cstheme="minorBidi"/>
                <w:i/>
                <w:sz w:val="28"/>
                <w:szCs w:val="28"/>
              </w:rPr>
            </w:pPr>
            <w:r w:rsidRPr="00763896">
              <w:rPr>
                <w:rFonts w:asciiTheme="minorHAnsi" w:hAnsiTheme="minorHAnsi" w:cstheme="minorBidi"/>
                <w:i/>
                <w:sz w:val="28"/>
                <w:szCs w:val="28"/>
              </w:rPr>
              <w:t>Accommodation strategy for the operational estate</w:t>
            </w:r>
          </w:p>
        </w:tc>
      </w:tr>
      <w:tr w:rsidR="00386D5A" w:rsidRPr="002A50EC" w14:paraId="63813AEE" w14:textId="77777777" w:rsidTr="00CD179D">
        <w:tc>
          <w:tcPr>
            <w:tcW w:w="0" w:type="auto"/>
            <w:tcBorders>
              <w:top w:val="single" w:sz="24" w:space="0" w:color="auto"/>
              <w:left w:val="single" w:sz="24" w:space="0" w:color="auto"/>
            </w:tcBorders>
            <w:vAlign w:val="center"/>
          </w:tcPr>
          <w:p w14:paraId="510C952A"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Asset optimisation</w:t>
            </w:r>
          </w:p>
        </w:tc>
        <w:tc>
          <w:tcPr>
            <w:tcW w:w="0" w:type="auto"/>
            <w:tcBorders>
              <w:top w:val="single" w:sz="24" w:space="0" w:color="auto"/>
              <w:right w:val="single" w:sz="24" w:space="0" w:color="auto"/>
            </w:tcBorders>
            <w:vAlign w:val="center"/>
          </w:tcPr>
          <w:p w14:paraId="6AC35ADA"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Reshaping the corporate portfolio based on delivering the new net financial position and achieving service outcomes</w:t>
            </w:r>
          </w:p>
        </w:tc>
      </w:tr>
      <w:tr w:rsidR="00386D5A" w:rsidRPr="002A50EC" w14:paraId="2E9DA165" w14:textId="77777777" w:rsidTr="00CD179D">
        <w:tc>
          <w:tcPr>
            <w:tcW w:w="0" w:type="auto"/>
            <w:tcBorders>
              <w:left w:val="single" w:sz="24" w:space="0" w:color="auto"/>
            </w:tcBorders>
            <w:vAlign w:val="center"/>
          </w:tcPr>
          <w:p w14:paraId="6FBE9F37" w14:textId="49EBF306" w:rsidR="00386D5A" w:rsidRPr="002A50EC" w:rsidRDefault="00556F61" w:rsidP="00CD179D">
            <w:pPr>
              <w:rPr>
                <w:rFonts w:asciiTheme="minorHAnsi" w:hAnsiTheme="minorHAnsi" w:cstheme="minorBidi"/>
              </w:rPr>
            </w:pPr>
            <w:r>
              <w:rPr>
                <w:rFonts w:asciiTheme="minorHAnsi" w:hAnsiTheme="minorHAnsi" w:cstheme="minorBidi"/>
              </w:rPr>
              <w:t>Facilities management</w:t>
            </w:r>
          </w:p>
        </w:tc>
        <w:tc>
          <w:tcPr>
            <w:tcW w:w="0" w:type="auto"/>
            <w:tcBorders>
              <w:right w:val="single" w:sz="24" w:space="0" w:color="auto"/>
            </w:tcBorders>
            <w:vAlign w:val="center"/>
          </w:tcPr>
          <w:p w14:paraId="7EEEEA40"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Effective and efficient management of the corporate estate</w:t>
            </w:r>
          </w:p>
        </w:tc>
      </w:tr>
      <w:tr w:rsidR="00386D5A" w:rsidRPr="002A50EC" w14:paraId="159F7A41" w14:textId="77777777" w:rsidTr="00CD179D">
        <w:tc>
          <w:tcPr>
            <w:tcW w:w="0" w:type="auto"/>
            <w:tcBorders>
              <w:left w:val="single" w:sz="24" w:space="0" w:color="auto"/>
              <w:bottom w:val="single" w:sz="24" w:space="0" w:color="auto"/>
            </w:tcBorders>
            <w:vAlign w:val="center"/>
          </w:tcPr>
          <w:p w14:paraId="70457B2D"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Sustainable and efficient estate</w:t>
            </w:r>
          </w:p>
        </w:tc>
        <w:tc>
          <w:tcPr>
            <w:tcW w:w="0" w:type="auto"/>
            <w:tcBorders>
              <w:bottom w:val="single" w:sz="24" w:space="0" w:color="auto"/>
              <w:right w:val="single" w:sz="24" w:space="0" w:color="auto"/>
            </w:tcBorders>
            <w:vAlign w:val="center"/>
          </w:tcPr>
          <w:p w14:paraId="3493653C"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Management of assets based on an understanding of opportunity costs and long-term potential alongside the costs and benefits in the here and now</w:t>
            </w:r>
          </w:p>
        </w:tc>
      </w:tr>
      <w:tr w:rsidR="000834B6" w:rsidRPr="00763896" w14:paraId="2CDA81B7" w14:textId="77777777" w:rsidTr="00B20193">
        <w:tc>
          <w:tcPr>
            <w:tcW w:w="0" w:type="auto"/>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7AA570F" w14:textId="77777777" w:rsidR="000834B6" w:rsidRPr="00763896" w:rsidRDefault="000834B6" w:rsidP="00B20193">
            <w:pPr>
              <w:jc w:val="center"/>
              <w:rPr>
                <w:rFonts w:asciiTheme="minorHAnsi" w:hAnsiTheme="minorHAnsi" w:cstheme="minorBidi"/>
                <w:i/>
                <w:sz w:val="28"/>
                <w:szCs w:val="28"/>
              </w:rPr>
            </w:pPr>
            <w:r w:rsidRPr="00763896">
              <w:rPr>
                <w:rFonts w:asciiTheme="minorHAnsi" w:hAnsiTheme="minorHAnsi" w:cstheme="minorBidi"/>
                <w:i/>
                <w:sz w:val="28"/>
                <w:szCs w:val="28"/>
              </w:rPr>
              <w:t>Compliance and risk</w:t>
            </w:r>
          </w:p>
        </w:tc>
      </w:tr>
      <w:tr w:rsidR="000834B6" w:rsidRPr="002A50EC" w14:paraId="7213182D" w14:textId="77777777" w:rsidTr="00B20193">
        <w:tc>
          <w:tcPr>
            <w:tcW w:w="0" w:type="auto"/>
            <w:tcBorders>
              <w:top w:val="single" w:sz="24" w:space="0" w:color="auto"/>
              <w:left w:val="single" w:sz="24" w:space="0" w:color="auto"/>
              <w:bottom w:val="single" w:sz="24" w:space="0" w:color="auto"/>
            </w:tcBorders>
            <w:vAlign w:val="center"/>
          </w:tcPr>
          <w:p w14:paraId="55AF03D9" w14:textId="77777777" w:rsidR="000834B6" w:rsidRPr="002A50EC" w:rsidRDefault="000834B6" w:rsidP="00B20193">
            <w:pPr>
              <w:rPr>
                <w:rFonts w:asciiTheme="minorHAnsi" w:hAnsiTheme="minorHAnsi" w:cstheme="minorBidi"/>
              </w:rPr>
            </w:pPr>
            <w:r w:rsidRPr="002A50EC">
              <w:rPr>
                <w:rFonts w:asciiTheme="minorHAnsi" w:hAnsiTheme="minorHAnsi" w:cstheme="minorBidi"/>
              </w:rPr>
              <w:t>Statutory compliance</w:t>
            </w:r>
          </w:p>
        </w:tc>
        <w:tc>
          <w:tcPr>
            <w:tcW w:w="0" w:type="auto"/>
            <w:tcBorders>
              <w:top w:val="single" w:sz="24" w:space="0" w:color="auto"/>
              <w:bottom w:val="single" w:sz="24" w:space="0" w:color="auto"/>
              <w:right w:val="single" w:sz="24" w:space="0" w:color="auto"/>
            </w:tcBorders>
            <w:vAlign w:val="center"/>
          </w:tcPr>
          <w:p w14:paraId="363388C7" w14:textId="77777777" w:rsidR="000834B6" w:rsidRPr="002A50EC" w:rsidRDefault="000834B6" w:rsidP="00B20193">
            <w:pPr>
              <w:rPr>
                <w:rFonts w:asciiTheme="minorHAnsi" w:hAnsiTheme="minorHAnsi" w:cstheme="minorBidi"/>
                <w:i/>
              </w:rPr>
            </w:pPr>
            <w:r>
              <w:rPr>
                <w:rFonts w:asciiTheme="minorHAnsi" w:hAnsiTheme="minorHAnsi" w:cstheme="minorBidi"/>
                <w:i/>
              </w:rPr>
              <w:t>F</w:t>
            </w:r>
            <w:r w:rsidRPr="002A50EC">
              <w:rPr>
                <w:rFonts w:asciiTheme="minorHAnsi" w:hAnsiTheme="minorHAnsi" w:cstheme="minorBidi"/>
                <w:i/>
              </w:rPr>
              <w:t>ully compliant with regulation and our obligations to resident</w:t>
            </w:r>
            <w:r>
              <w:rPr>
                <w:rFonts w:asciiTheme="minorHAnsi" w:hAnsiTheme="minorHAnsi" w:cstheme="minorBidi"/>
                <w:i/>
              </w:rPr>
              <w:t>s and staff</w:t>
            </w:r>
          </w:p>
        </w:tc>
      </w:tr>
      <w:tr w:rsidR="00386D5A" w:rsidRPr="00763896" w14:paraId="03C4C0DA" w14:textId="77777777" w:rsidTr="00CD179D">
        <w:trPr>
          <w:trHeight w:val="189"/>
        </w:trPr>
        <w:tc>
          <w:tcPr>
            <w:tcW w:w="0" w:type="auto"/>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2221BFB8" w14:textId="77777777" w:rsidR="00386D5A" w:rsidRPr="00763896" w:rsidRDefault="00386D5A" w:rsidP="00CD179D">
            <w:pPr>
              <w:jc w:val="center"/>
              <w:rPr>
                <w:rFonts w:asciiTheme="minorHAnsi" w:hAnsiTheme="minorHAnsi" w:cstheme="minorBidi"/>
                <w:i/>
                <w:sz w:val="28"/>
                <w:szCs w:val="28"/>
              </w:rPr>
            </w:pPr>
            <w:r w:rsidRPr="00763896">
              <w:rPr>
                <w:rFonts w:asciiTheme="minorHAnsi" w:hAnsiTheme="minorHAnsi" w:cstheme="minorBidi"/>
                <w:i/>
                <w:sz w:val="28"/>
                <w:szCs w:val="28"/>
              </w:rPr>
              <w:t>Commercial estate</w:t>
            </w:r>
          </w:p>
        </w:tc>
      </w:tr>
      <w:tr w:rsidR="00386D5A" w:rsidRPr="002A50EC" w14:paraId="7F7CF9DE" w14:textId="77777777" w:rsidTr="00CD179D">
        <w:trPr>
          <w:trHeight w:val="189"/>
        </w:trPr>
        <w:tc>
          <w:tcPr>
            <w:tcW w:w="0" w:type="auto"/>
            <w:tcBorders>
              <w:top w:val="single" w:sz="24" w:space="0" w:color="auto"/>
              <w:left w:val="single" w:sz="24" w:space="0" w:color="auto"/>
            </w:tcBorders>
            <w:vAlign w:val="center"/>
          </w:tcPr>
          <w:p w14:paraId="2E2717DB"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A better balanced portfolio</w:t>
            </w:r>
          </w:p>
        </w:tc>
        <w:tc>
          <w:tcPr>
            <w:tcW w:w="0" w:type="auto"/>
            <w:tcBorders>
              <w:top w:val="single" w:sz="24" w:space="0" w:color="auto"/>
              <w:right w:val="single" w:sz="24" w:space="0" w:color="auto"/>
            </w:tcBorders>
            <w:vAlign w:val="center"/>
          </w:tcPr>
          <w:p w14:paraId="2CCAE9ED" w14:textId="77777777" w:rsidR="00386D5A" w:rsidRPr="002A50EC" w:rsidRDefault="00386D5A" w:rsidP="00CD179D">
            <w:pPr>
              <w:rPr>
                <w:rFonts w:asciiTheme="minorHAnsi" w:hAnsiTheme="minorHAnsi" w:cstheme="minorBidi"/>
                <w:i/>
              </w:rPr>
            </w:pPr>
            <w:r w:rsidRPr="002A50EC">
              <w:rPr>
                <w:rFonts w:asciiTheme="minorHAnsi" w:hAnsiTheme="minorHAnsi" w:cstheme="minorBidi"/>
                <w:i/>
              </w:rPr>
              <w:t>Proactive use of the Council’s assets to drive regeneration and create value and opportunity</w:t>
            </w:r>
          </w:p>
        </w:tc>
      </w:tr>
      <w:tr w:rsidR="00386D5A" w:rsidRPr="002A50EC" w14:paraId="1AAAC1B3" w14:textId="77777777" w:rsidTr="00CD179D">
        <w:tc>
          <w:tcPr>
            <w:tcW w:w="0" w:type="auto"/>
            <w:tcBorders>
              <w:left w:val="single" w:sz="24" w:space="0" w:color="auto"/>
              <w:bottom w:val="single" w:sz="24" w:space="0" w:color="auto"/>
            </w:tcBorders>
            <w:vAlign w:val="center"/>
          </w:tcPr>
          <w:p w14:paraId="788AB281" w14:textId="77777777" w:rsidR="00386D5A" w:rsidRPr="002A50EC" w:rsidRDefault="00386D5A" w:rsidP="00CD179D">
            <w:pPr>
              <w:rPr>
                <w:rFonts w:asciiTheme="minorHAnsi" w:hAnsiTheme="minorHAnsi" w:cstheme="minorBidi"/>
              </w:rPr>
            </w:pPr>
            <w:r w:rsidRPr="002A50EC">
              <w:rPr>
                <w:rFonts w:asciiTheme="minorHAnsi" w:hAnsiTheme="minorHAnsi" w:cstheme="minorBidi"/>
              </w:rPr>
              <w:t>Increased income</w:t>
            </w:r>
          </w:p>
        </w:tc>
        <w:tc>
          <w:tcPr>
            <w:tcW w:w="0" w:type="auto"/>
            <w:tcBorders>
              <w:bottom w:val="single" w:sz="24" w:space="0" w:color="auto"/>
              <w:right w:val="single" w:sz="24" w:space="0" w:color="auto"/>
            </w:tcBorders>
            <w:vAlign w:val="center"/>
          </w:tcPr>
          <w:p w14:paraId="7BEEFE9D" w14:textId="77777777" w:rsidR="00386D5A" w:rsidRPr="002A50EC" w:rsidRDefault="00386D5A" w:rsidP="00CD179D">
            <w:pPr>
              <w:rPr>
                <w:rFonts w:asciiTheme="minorHAnsi" w:hAnsiTheme="minorHAnsi" w:cstheme="minorBidi"/>
                <w:i/>
              </w:rPr>
            </w:pPr>
            <w:r w:rsidRPr="00A00768">
              <w:rPr>
                <w:rFonts w:asciiTheme="minorHAnsi" w:hAnsiTheme="minorHAnsi" w:cstheme="minorBidi"/>
                <w:i/>
              </w:rPr>
              <w:t>Refocussing the existing commercial portfolio to achieve market rates and maximise income collection</w:t>
            </w:r>
          </w:p>
        </w:tc>
      </w:tr>
    </w:tbl>
    <w:p w14:paraId="08ED0BB0" w14:textId="77777777" w:rsidR="00386D5A" w:rsidRDefault="00386D5A" w:rsidP="00DF5976"/>
    <w:p w14:paraId="10D8AC61" w14:textId="77777777" w:rsidR="00386D5A" w:rsidRDefault="00386D5A">
      <w:pPr>
        <w:spacing w:after="200" w:line="276" w:lineRule="auto"/>
      </w:pPr>
      <w:r>
        <w:br w:type="page"/>
      </w:r>
    </w:p>
    <w:p w14:paraId="55C97262" w14:textId="42523103" w:rsidR="00386D5A" w:rsidRDefault="00BF3432" w:rsidP="00DF5976">
      <w:r>
        <w:lastRenderedPageBreak/>
        <w:t xml:space="preserve">The work strands are comprised of a number of projects that have been described in the body of this Strategic Asset Management Plan.  </w:t>
      </w:r>
      <w:r w:rsidR="00386D5A">
        <w:t>These projects are summarised in the table below.</w:t>
      </w:r>
    </w:p>
    <w:p w14:paraId="66F2923B" w14:textId="0390B0B3" w:rsidR="000F4ECF" w:rsidRDefault="000F4ECF" w:rsidP="00DF59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842"/>
        <w:gridCol w:w="4579"/>
      </w:tblGrid>
      <w:tr w:rsidR="00D03364" w:rsidRPr="000F4ECF" w14:paraId="4BFFC931" w14:textId="77777777" w:rsidTr="00640D2D">
        <w:tc>
          <w:tcPr>
            <w:tcW w:w="2432" w:type="dxa"/>
            <w:tcBorders>
              <w:top w:val="single" w:sz="24" w:space="0" w:color="auto"/>
              <w:left w:val="single" w:sz="24" w:space="0" w:color="auto"/>
              <w:bottom w:val="single" w:sz="24" w:space="0" w:color="auto"/>
            </w:tcBorders>
            <w:shd w:val="clear" w:color="auto" w:fill="D9D9D9"/>
          </w:tcPr>
          <w:p w14:paraId="1D35B20F" w14:textId="77777777" w:rsidR="00D03364" w:rsidRPr="000F4ECF" w:rsidRDefault="00D03364" w:rsidP="000F4ECF">
            <w:pPr>
              <w:rPr>
                <w:rFonts w:ascii="Arial" w:eastAsia="Times New Roman" w:hAnsi="Arial" w:cs="Arial"/>
                <w:b/>
                <w:sz w:val="20"/>
                <w:szCs w:val="20"/>
                <w:lang w:eastAsia="en-GB"/>
              </w:rPr>
            </w:pPr>
            <w:r w:rsidRPr="000F4ECF">
              <w:rPr>
                <w:rFonts w:ascii="Arial" w:eastAsia="Times New Roman" w:hAnsi="Arial" w:cs="Arial"/>
                <w:b/>
                <w:sz w:val="20"/>
                <w:szCs w:val="20"/>
                <w:lang w:eastAsia="en-GB"/>
              </w:rPr>
              <w:t>Programmes</w:t>
            </w:r>
          </w:p>
        </w:tc>
        <w:tc>
          <w:tcPr>
            <w:tcW w:w="7421" w:type="dxa"/>
            <w:gridSpan w:val="2"/>
            <w:tcBorders>
              <w:top w:val="single" w:sz="24" w:space="0" w:color="auto"/>
              <w:bottom w:val="single" w:sz="24" w:space="0" w:color="auto"/>
              <w:right w:val="single" w:sz="24" w:space="0" w:color="auto"/>
            </w:tcBorders>
            <w:shd w:val="clear" w:color="auto" w:fill="D9D9D9"/>
          </w:tcPr>
          <w:p w14:paraId="096D9528" w14:textId="6E2DD5C1" w:rsidR="00D03364" w:rsidRPr="000F4ECF" w:rsidRDefault="00D03364" w:rsidP="00D03364">
            <w:pPr>
              <w:jc w:val="center"/>
              <w:rPr>
                <w:rFonts w:ascii="Arial" w:eastAsia="Times New Roman" w:hAnsi="Arial" w:cs="Arial"/>
                <w:b/>
                <w:sz w:val="20"/>
                <w:szCs w:val="20"/>
                <w:lang w:eastAsia="en-GB"/>
              </w:rPr>
            </w:pPr>
            <w:r w:rsidRPr="000F4ECF">
              <w:rPr>
                <w:rFonts w:ascii="Arial" w:eastAsia="Times New Roman" w:hAnsi="Arial" w:cs="Arial"/>
                <w:b/>
                <w:sz w:val="20"/>
                <w:szCs w:val="20"/>
                <w:lang w:eastAsia="en-GB"/>
              </w:rPr>
              <w:t>Work strands</w:t>
            </w:r>
          </w:p>
        </w:tc>
      </w:tr>
      <w:tr w:rsidR="000F4ECF" w:rsidRPr="000F4ECF" w14:paraId="5802BDB2" w14:textId="77777777" w:rsidTr="000F4ECF">
        <w:trPr>
          <w:trHeight w:val="1929"/>
        </w:trPr>
        <w:tc>
          <w:tcPr>
            <w:tcW w:w="2432" w:type="dxa"/>
            <w:tcBorders>
              <w:top w:val="single" w:sz="24" w:space="0" w:color="auto"/>
              <w:left w:val="single" w:sz="24" w:space="0" w:color="auto"/>
            </w:tcBorders>
            <w:shd w:val="clear" w:color="auto" w:fill="auto"/>
            <w:vAlign w:val="center"/>
          </w:tcPr>
          <w:p w14:paraId="2ED63657"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Compliance and risk</w:t>
            </w:r>
          </w:p>
        </w:tc>
        <w:tc>
          <w:tcPr>
            <w:tcW w:w="2842" w:type="dxa"/>
            <w:tcBorders>
              <w:top w:val="single" w:sz="24" w:space="0" w:color="auto"/>
            </w:tcBorders>
            <w:shd w:val="clear" w:color="auto" w:fill="auto"/>
            <w:vAlign w:val="center"/>
          </w:tcPr>
          <w:p w14:paraId="6AEF83C4"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Statutory compliance</w:t>
            </w:r>
          </w:p>
          <w:p w14:paraId="019EE015" w14:textId="77777777" w:rsidR="000F4ECF" w:rsidRPr="000F4ECF" w:rsidRDefault="000F4ECF" w:rsidP="000F4ECF">
            <w:pPr>
              <w:rPr>
                <w:rFonts w:ascii="Arial" w:eastAsia="Times New Roman" w:hAnsi="Arial" w:cs="Arial"/>
                <w:sz w:val="20"/>
                <w:szCs w:val="20"/>
                <w:lang w:eastAsia="en-GB"/>
              </w:rPr>
            </w:pPr>
          </w:p>
          <w:p w14:paraId="47072C11" w14:textId="77777777" w:rsidR="000F4ECF" w:rsidRPr="000F4ECF" w:rsidRDefault="000F4ECF" w:rsidP="000F4ECF">
            <w:pPr>
              <w:rPr>
                <w:rFonts w:ascii="Arial" w:eastAsia="Times New Roman" w:hAnsi="Arial" w:cs="Arial"/>
                <w:sz w:val="20"/>
                <w:szCs w:val="20"/>
                <w:lang w:eastAsia="en-GB"/>
              </w:rPr>
            </w:pPr>
          </w:p>
        </w:tc>
        <w:tc>
          <w:tcPr>
            <w:tcW w:w="4579" w:type="dxa"/>
            <w:tcBorders>
              <w:top w:val="single" w:sz="24" w:space="0" w:color="auto"/>
              <w:right w:val="single" w:sz="24" w:space="0" w:color="auto"/>
            </w:tcBorders>
            <w:shd w:val="clear" w:color="auto" w:fill="auto"/>
          </w:tcPr>
          <w:p w14:paraId="793268FB"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Fire safety</w:t>
            </w:r>
          </w:p>
          <w:p w14:paraId="1DF26490"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Asbestos policy and management plan</w:t>
            </w:r>
          </w:p>
          <w:p w14:paraId="7708BA0E"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Water hygiene plan</w:t>
            </w:r>
          </w:p>
          <w:p w14:paraId="24D6B1CF"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 xml:space="preserve">Equality Act 2010 access to buildings and services </w:t>
            </w:r>
          </w:p>
          <w:p w14:paraId="5B701C74"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Energy Performance Certificates</w:t>
            </w:r>
          </w:p>
          <w:p w14:paraId="77006834"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 xml:space="preserve">Staff safety </w:t>
            </w:r>
          </w:p>
          <w:p w14:paraId="65AA7977" w14:textId="77777777" w:rsidR="000F4ECF" w:rsidRPr="000F4ECF" w:rsidRDefault="000F4ECF" w:rsidP="000F4ECF">
            <w:pPr>
              <w:numPr>
                <w:ilvl w:val="0"/>
                <w:numId w:val="32"/>
              </w:numPr>
              <w:rPr>
                <w:rFonts w:ascii="Arial" w:eastAsia="Times New Roman" w:hAnsi="Arial" w:cs="Arial"/>
                <w:sz w:val="20"/>
                <w:szCs w:val="20"/>
                <w:lang w:eastAsia="en-GB"/>
              </w:rPr>
            </w:pPr>
            <w:r w:rsidRPr="000F4ECF">
              <w:rPr>
                <w:rFonts w:ascii="Arial" w:eastAsia="Times New Roman" w:hAnsi="Arial" w:cs="Arial"/>
                <w:sz w:val="20"/>
                <w:szCs w:val="20"/>
                <w:lang w:eastAsia="en-GB"/>
              </w:rPr>
              <w:t>Third party management of assets</w:t>
            </w:r>
          </w:p>
        </w:tc>
      </w:tr>
      <w:tr w:rsidR="000F4ECF" w:rsidRPr="000F4ECF" w14:paraId="056DBD70" w14:textId="77777777" w:rsidTr="000F4ECF">
        <w:tc>
          <w:tcPr>
            <w:tcW w:w="2432" w:type="dxa"/>
            <w:vMerge w:val="restart"/>
            <w:tcBorders>
              <w:top w:val="single" w:sz="24" w:space="0" w:color="auto"/>
              <w:left w:val="single" w:sz="24" w:space="0" w:color="auto"/>
            </w:tcBorders>
            <w:shd w:val="clear" w:color="auto" w:fill="auto"/>
            <w:vAlign w:val="center"/>
          </w:tcPr>
          <w:p w14:paraId="7C342BFA"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Strategic approach to assets</w:t>
            </w:r>
          </w:p>
        </w:tc>
        <w:tc>
          <w:tcPr>
            <w:tcW w:w="2842" w:type="dxa"/>
            <w:tcBorders>
              <w:top w:val="single" w:sz="24" w:space="0" w:color="auto"/>
            </w:tcBorders>
            <w:shd w:val="clear" w:color="auto" w:fill="auto"/>
            <w:vAlign w:val="center"/>
          </w:tcPr>
          <w:p w14:paraId="78881F9C"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Data capture, storage and analysis</w:t>
            </w:r>
          </w:p>
        </w:tc>
        <w:tc>
          <w:tcPr>
            <w:tcW w:w="4579" w:type="dxa"/>
            <w:tcBorders>
              <w:top w:val="single" w:sz="24" w:space="0" w:color="auto"/>
              <w:right w:val="single" w:sz="24" w:space="0" w:color="auto"/>
            </w:tcBorders>
            <w:shd w:val="clear" w:color="auto" w:fill="auto"/>
          </w:tcPr>
          <w:p w14:paraId="1931A560" w14:textId="77777777" w:rsidR="000F4ECF" w:rsidRPr="000F4ECF" w:rsidRDefault="000F4ECF" w:rsidP="000F4ECF">
            <w:pPr>
              <w:numPr>
                <w:ilvl w:val="0"/>
                <w:numId w:val="24"/>
              </w:numPr>
              <w:rPr>
                <w:rFonts w:ascii="Arial" w:eastAsia="Times New Roman" w:hAnsi="Arial" w:cs="Arial"/>
                <w:sz w:val="20"/>
                <w:szCs w:val="20"/>
                <w:lang w:eastAsia="en-GB"/>
              </w:rPr>
            </w:pPr>
            <w:r w:rsidRPr="000F4ECF">
              <w:rPr>
                <w:rFonts w:ascii="Arial" w:eastAsia="Times New Roman" w:hAnsi="Arial" w:cs="Arial"/>
                <w:sz w:val="20"/>
                <w:szCs w:val="20"/>
                <w:lang w:eastAsia="en-GB"/>
              </w:rPr>
              <w:t>Asset Management System (AMS)</w:t>
            </w:r>
          </w:p>
          <w:p w14:paraId="20A2178A" w14:textId="77777777" w:rsidR="000F4ECF" w:rsidRPr="000F4ECF" w:rsidRDefault="000F4ECF" w:rsidP="000F4ECF">
            <w:pPr>
              <w:numPr>
                <w:ilvl w:val="0"/>
                <w:numId w:val="24"/>
              </w:numPr>
              <w:rPr>
                <w:rFonts w:ascii="Arial" w:eastAsia="Times New Roman" w:hAnsi="Arial" w:cs="Arial"/>
                <w:sz w:val="20"/>
                <w:szCs w:val="20"/>
                <w:lang w:eastAsia="en-GB"/>
              </w:rPr>
            </w:pPr>
            <w:r w:rsidRPr="000F4ECF">
              <w:rPr>
                <w:rFonts w:ascii="Arial" w:eastAsia="Times New Roman" w:hAnsi="Arial" w:cs="Arial"/>
                <w:sz w:val="20"/>
                <w:szCs w:val="20"/>
                <w:lang w:eastAsia="en-GB"/>
              </w:rPr>
              <w:t>Systems and processes</w:t>
            </w:r>
          </w:p>
        </w:tc>
      </w:tr>
      <w:tr w:rsidR="000F4ECF" w:rsidRPr="000F4ECF" w14:paraId="64E30165" w14:textId="77777777" w:rsidTr="000F4ECF">
        <w:tc>
          <w:tcPr>
            <w:tcW w:w="2432" w:type="dxa"/>
            <w:vMerge/>
            <w:tcBorders>
              <w:left w:val="single" w:sz="24" w:space="0" w:color="auto"/>
            </w:tcBorders>
            <w:shd w:val="clear" w:color="auto" w:fill="auto"/>
            <w:vAlign w:val="center"/>
          </w:tcPr>
          <w:p w14:paraId="5E091CEB" w14:textId="77777777" w:rsidR="000F4ECF" w:rsidRPr="000F4ECF" w:rsidRDefault="000F4ECF" w:rsidP="000F4ECF">
            <w:pPr>
              <w:rPr>
                <w:rFonts w:ascii="Arial" w:eastAsia="Times New Roman" w:hAnsi="Arial" w:cs="Arial"/>
                <w:sz w:val="20"/>
                <w:szCs w:val="20"/>
                <w:lang w:eastAsia="en-GB"/>
              </w:rPr>
            </w:pPr>
          </w:p>
        </w:tc>
        <w:tc>
          <w:tcPr>
            <w:tcW w:w="2842" w:type="dxa"/>
            <w:shd w:val="clear" w:color="auto" w:fill="auto"/>
            <w:vAlign w:val="center"/>
          </w:tcPr>
          <w:p w14:paraId="1EA75C28"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Capacity and functions</w:t>
            </w:r>
          </w:p>
        </w:tc>
        <w:tc>
          <w:tcPr>
            <w:tcW w:w="4579" w:type="dxa"/>
            <w:tcBorders>
              <w:right w:val="single" w:sz="24" w:space="0" w:color="auto"/>
            </w:tcBorders>
            <w:shd w:val="clear" w:color="auto" w:fill="auto"/>
          </w:tcPr>
          <w:p w14:paraId="15873CE1" w14:textId="77777777" w:rsidR="000F4ECF" w:rsidRPr="000F4ECF" w:rsidRDefault="000F4ECF" w:rsidP="000F4ECF">
            <w:pPr>
              <w:numPr>
                <w:ilvl w:val="0"/>
                <w:numId w:val="25"/>
              </w:numPr>
              <w:rPr>
                <w:rFonts w:ascii="Arial" w:eastAsia="Times New Roman" w:hAnsi="Arial" w:cs="Arial"/>
                <w:sz w:val="20"/>
                <w:szCs w:val="20"/>
                <w:lang w:eastAsia="en-GB"/>
              </w:rPr>
            </w:pPr>
            <w:r w:rsidRPr="000F4ECF">
              <w:rPr>
                <w:rFonts w:ascii="Arial" w:eastAsia="Times New Roman" w:hAnsi="Arial" w:cs="Arial"/>
                <w:sz w:val="20"/>
                <w:szCs w:val="20"/>
                <w:lang w:eastAsia="en-GB"/>
              </w:rPr>
              <w:t xml:space="preserve">Restructuring </w:t>
            </w:r>
          </w:p>
          <w:p w14:paraId="00374F1F" w14:textId="77777777" w:rsidR="000F4ECF" w:rsidRPr="000F4ECF" w:rsidRDefault="000F4ECF" w:rsidP="000F4ECF">
            <w:pPr>
              <w:numPr>
                <w:ilvl w:val="0"/>
                <w:numId w:val="25"/>
              </w:numPr>
              <w:rPr>
                <w:rFonts w:ascii="Arial" w:eastAsia="Times New Roman" w:hAnsi="Arial" w:cs="Arial"/>
                <w:sz w:val="20"/>
                <w:szCs w:val="20"/>
                <w:lang w:eastAsia="en-GB"/>
              </w:rPr>
            </w:pPr>
            <w:r w:rsidRPr="000F4ECF">
              <w:rPr>
                <w:rFonts w:ascii="Arial" w:eastAsia="Times New Roman" w:hAnsi="Arial" w:cs="Arial"/>
                <w:sz w:val="20"/>
                <w:szCs w:val="20"/>
                <w:lang w:eastAsia="en-GB"/>
              </w:rPr>
              <w:t>Backlog clearence</w:t>
            </w:r>
          </w:p>
        </w:tc>
      </w:tr>
      <w:tr w:rsidR="000F4ECF" w:rsidRPr="000F4ECF" w14:paraId="577DBF2D" w14:textId="77777777" w:rsidTr="000F4ECF">
        <w:tc>
          <w:tcPr>
            <w:tcW w:w="2432" w:type="dxa"/>
            <w:vMerge/>
            <w:tcBorders>
              <w:left w:val="single" w:sz="24" w:space="0" w:color="auto"/>
            </w:tcBorders>
            <w:shd w:val="clear" w:color="auto" w:fill="auto"/>
            <w:vAlign w:val="center"/>
          </w:tcPr>
          <w:p w14:paraId="73B9752D" w14:textId="77777777" w:rsidR="000F4ECF" w:rsidRPr="000F4ECF" w:rsidRDefault="000F4ECF" w:rsidP="000F4ECF">
            <w:pPr>
              <w:rPr>
                <w:rFonts w:ascii="Arial" w:eastAsia="Times New Roman" w:hAnsi="Arial" w:cs="Arial"/>
                <w:sz w:val="20"/>
                <w:szCs w:val="20"/>
                <w:lang w:eastAsia="en-GB"/>
              </w:rPr>
            </w:pPr>
          </w:p>
        </w:tc>
        <w:tc>
          <w:tcPr>
            <w:tcW w:w="2842" w:type="dxa"/>
            <w:shd w:val="clear" w:color="auto" w:fill="auto"/>
            <w:vAlign w:val="center"/>
          </w:tcPr>
          <w:p w14:paraId="2CD146BF"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Estate management</w:t>
            </w:r>
          </w:p>
        </w:tc>
        <w:tc>
          <w:tcPr>
            <w:tcW w:w="4579" w:type="dxa"/>
            <w:tcBorders>
              <w:right w:val="single" w:sz="24" w:space="0" w:color="auto"/>
            </w:tcBorders>
            <w:shd w:val="clear" w:color="auto" w:fill="auto"/>
          </w:tcPr>
          <w:p w14:paraId="7393C98D" w14:textId="77777777" w:rsidR="000F4ECF" w:rsidRPr="000F4ECF" w:rsidRDefault="000F4ECF" w:rsidP="000F4ECF">
            <w:pPr>
              <w:numPr>
                <w:ilvl w:val="0"/>
                <w:numId w:val="26"/>
              </w:numPr>
              <w:rPr>
                <w:rFonts w:ascii="Arial" w:eastAsia="Times New Roman" w:hAnsi="Arial" w:cs="Arial"/>
                <w:sz w:val="20"/>
                <w:szCs w:val="20"/>
                <w:lang w:eastAsia="en-GB"/>
              </w:rPr>
            </w:pPr>
            <w:r w:rsidRPr="000F4ECF">
              <w:rPr>
                <w:rFonts w:ascii="Arial" w:eastAsia="Times New Roman" w:hAnsi="Arial" w:cs="Arial"/>
                <w:sz w:val="20"/>
                <w:szCs w:val="20"/>
                <w:lang w:eastAsia="en-GB"/>
              </w:rPr>
              <w:t>Classification of assets</w:t>
            </w:r>
          </w:p>
          <w:p w14:paraId="07A820F5" w14:textId="77777777" w:rsidR="000F4ECF" w:rsidRPr="000F4ECF" w:rsidRDefault="000F4ECF" w:rsidP="000F4ECF">
            <w:pPr>
              <w:numPr>
                <w:ilvl w:val="0"/>
                <w:numId w:val="26"/>
              </w:numPr>
              <w:rPr>
                <w:rFonts w:ascii="Arial" w:eastAsia="Times New Roman" w:hAnsi="Arial" w:cs="Arial"/>
                <w:sz w:val="20"/>
                <w:szCs w:val="20"/>
                <w:lang w:eastAsia="en-GB"/>
              </w:rPr>
            </w:pPr>
            <w:r w:rsidRPr="000F4ECF">
              <w:rPr>
                <w:rFonts w:ascii="Arial" w:eastAsia="Times New Roman" w:hAnsi="Arial" w:cs="Arial"/>
                <w:sz w:val="20"/>
                <w:szCs w:val="20"/>
                <w:lang w:eastAsia="en-GB"/>
              </w:rPr>
              <w:t>Third sector and community assets</w:t>
            </w:r>
          </w:p>
          <w:p w14:paraId="58051EDC" w14:textId="77777777" w:rsidR="000F4ECF" w:rsidRPr="000F4ECF" w:rsidRDefault="000F4ECF" w:rsidP="000F4ECF">
            <w:pPr>
              <w:numPr>
                <w:ilvl w:val="0"/>
                <w:numId w:val="26"/>
              </w:numPr>
              <w:rPr>
                <w:rFonts w:ascii="Arial" w:eastAsia="Times New Roman" w:hAnsi="Arial" w:cs="Arial"/>
                <w:sz w:val="20"/>
                <w:szCs w:val="20"/>
                <w:lang w:eastAsia="en-GB"/>
              </w:rPr>
            </w:pPr>
            <w:r w:rsidRPr="000F4ECF">
              <w:rPr>
                <w:rFonts w:ascii="Arial" w:eastAsia="Times New Roman" w:hAnsi="Arial" w:cs="Arial"/>
                <w:sz w:val="20"/>
                <w:szCs w:val="20"/>
                <w:lang w:eastAsia="en-GB"/>
              </w:rPr>
              <w:t>‘Urban Files’</w:t>
            </w:r>
          </w:p>
        </w:tc>
      </w:tr>
      <w:tr w:rsidR="000F4ECF" w:rsidRPr="000F4ECF" w14:paraId="51BDB994" w14:textId="77777777" w:rsidTr="000F4ECF">
        <w:tc>
          <w:tcPr>
            <w:tcW w:w="2432" w:type="dxa"/>
            <w:vMerge/>
            <w:tcBorders>
              <w:left w:val="single" w:sz="24" w:space="0" w:color="auto"/>
              <w:bottom w:val="single" w:sz="24" w:space="0" w:color="auto"/>
            </w:tcBorders>
            <w:shd w:val="clear" w:color="auto" w:fill="auto"/>
            <w:vAlign w:val="center"/>
          </w:tcPr>
          <w:p w14:paraId="0E1C18B6" w14:textId="77777777" w:rsidR="000F4ECF" w:rsidRPr="000F4ECF" w:rsidRDefault="000F4ECF" w:rsidP="000F4ECF">
            <w:pPr>
              <w:rPr>
                <w:rFonts w:ascii="Arial" w:eastAsia="Times New Roman" w:hAnsi="Arial" w:cs="Arial"/>
                <w:sz w:val="20"/>
                <w:szCs w:val="20"/>
                <w:lang w:eastAsia="en-GB"/>
              </w:rPr>
            </w:pPr>
          </w:p>
        </w:tc>
        <w:tc>
          <w:tcPr>
            <w:tcW w:w="2842" w:type="dxa"/>
            <w:tcBorders>
              <w:bottom w:val="single" w:sz="24" w:space="0" w:color="auto"/>
            </w:tcBorders>
            <w:shd w:val="clear" w:color="auto" w:fill="auto"/>
            <w:vAlign w:val="center"/>
          </w:tcPr>
          <w:p w14:paraId="66ECBF27"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Governance and partnerships</w:t>
            </w:r>
          </w:p>
        </w:tc>
        <w:tc>
          <w:tcPr>
            <w:tcW w:w="4579" w:type="dxa"/>
            <w:tcBorders>
              <w:bottom w:val="single" w:sz="24" w:space="0" w:color="auto"/>
              <w:right w:val="single" w:sz="24" w:space="0" w:color="auto"/>
            </w:tcBorders>
            <w:shd w:val="clear" w:color="auto" w:fill="auto"/>
          </w:tcPr>
          <w:p w14:paraId="236E2E7C" w14:textId="77777777" w:rsidR="000F4ECF" w:rsidRPr="000F4ECF" w:rsidRDefault="000F4ECF" w:rsidP="000F4ECF">
            <w:pPr>
              <w:numPr>
                <w:ilvl w:val="0"/>
                <w:numId w:val="26"/>
              </w:numPr>
              <w:rPr>
                <w:rFonts w:ascii="Arial" w:eastAsia="Times New Roman" w:hAnsi="Arial" w:cs="Arial"/>
                <w:sz w:val="20"/>
                <w:szCs w:val="20"/>
                <w:lang w:eastAsia="en-GB"/>
              </w:rPr>
            </w:pPr>
            <w:r w:rsidRPr="000F4ECF">
              <w:rPr>
                <w:rFonts w:ascii="Arial" w:eastAsia="Times New Roman" w:hAnsi="Arial" w:cs="Arial"/>
                <w:sz w:val="20"/>
                <w:szCs w:val="20"/>
                <w:lang w:eastAsia="en-GB"/>
              </w:rPr>
              <w:t>Asset Management Board</w:t>
            </w:r>
          </w:p>
          <w:p w14:paraId="54FA136D" w14:textId="77777777" w:rsidR="000F4ECF" w:rsidRPr="000F4ECF" w:rsidRDefault="000F4ECF" w:rsidP="000F4ECF">
            <w:pPr>
              <w:numPr>
                <w:ilvl w:val="0"/>
                <w:numId w:val="26"/>
              </w:numPr>
              <w:rPr>
                <w:rFonts w:ascii="Arial" w:eastAsia="Times New Roman" w:hAnsi="Arial" w:cs="Arial"/>
                <w:sz w:val="20"/>
                <w:szCs w:val="20"/>
                <w:lang w:eastAsia="en-GB"/>
              </w:rPr>
            </w:pPr>
            <w:r w:rsidRPr="000F4ECF">
              <w:rPr>
                <w:rFonts w:ascii="Arial" w:eastAsia="Times New Roman" w:hAnsi="Arial" w:cs="Arial"/>
                <w:sz w:val="20"/>
                <w:szCs w:val="20"/>
                <w:lang w:eastAsia="en-GB"/>
              </w:rPr>
              <w:t xml:space="preserve">Partner engagement </w:t>
            </w:r>
          </w:p>
          <w:p w14:paraId="18C82846" w14:textId="77777777" w:rsidR="000F4ECF" w:rsidRPr="000F4ECF" w:rsidRDefault="000F4ECF" w:rsidP="000F4ECF">
            <w:pPr>
              <w:numPr>
                <w:ilvl w:val="0"/>
                <w:numId w:val="26"/>
              </w:numPr>
              <w:rPr>
                <w:rFonts w:ascii="Arial" w:eastAsia="Times New Roman" w:hAnsi="Arial" w:cs="Arial"/>
                <w:sz w:val="20"/>
                <w:szCs w:val="20"/>
                <w:lang w:eastAsia="en-GB"/>
              </w:rPr>
            </w:pPr>
            <w:r w:rsidRPr="000F4ECF">
              <w:rPr>
                <w:rFonts w:ascii="Arial" w:eastAsia="Times New Roman" w:hAnsi="Arial" w:cs="Arial"/>
                <w:sz w:val="20"/>
                <w:szCs w:val="20"/>
                <w:lang w:eastAsia="en-GB"/>
              </w:rPr>
              <w:t>Schools estate</w:t>
            </w:r>
          </w:p>
        </w:tc>
      </w:tr>
      <w:tr w:rsidR="000F4ECF" w:rsidRPr="000F4ECF" w14:paraId="5BA29198" w14:textId="77777777" w:rsidTr="000F4ECF">
        <w:tc>
          <w:tcPr>
            <w:tcW w:w="2432" w:type="dxa"/>
            <w:vMerge w:val="restart"/>
            <w:tcBorders>
              <w:top w:val="single" w:sz="24" w:space="0" w:color="auto"/>
              <w:left w:val="single" w:sz="24" w:space="0" w:color="auto"/>
            </w:tcBorders>
            <w:shd w:val="clear" w:color="auto" w:fill="auto"/>
            <w:vAlign w:val="center"/>
          </w:tcPr>
          <w:p w14:paraId="76854CC9"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Accommodation strategy for the operational estate</w:t>
            </w:r>
          </w:p>
        </w:tc>
        <w:tc>
          <w:tcPr>
            <w:tcW w:w="2842" w:type="dxa"/>
            <w:tcBorders>
              <w:top w:val="single" w:sz="24" w:space="0" w:color="auto"/>
            </w:tcBorders>
            <w:shd w:val="clear" w:color="auto" w:fill="auto"/>
            <w:vAlign w:val="center"/>
          </w:tcPr>
          <w:p w14:paraId="72DFBC0B"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Asset optimisation</w:t>
            </w:r>
          </w:p>
        </w:tc>
        <w:tc>
          <w:tcPr>
            <w:tcW w:w="4579" w:type="dxa"/>
            <w:tcBorders>
              <w:top w:val="single" w:sz="24" w:space="0" w:color="auto"/>
              <w:right w:val="single" w:sz="24" w:space="0" w:color="auto"/>
            </w:tcBorders>
            <w:shd w:val="clear" w:color="auto" w:fill="auto"/>
          </w:tcPr>
          <w:p w14:paraId="0C3DEA1C" w14:textId="77777777" w:rsidR="000F4ECF" w:rsidRPr="000F4ECF" w:rsidRDefault="000F4ECF" w:rsidP="000F4ECF">
            <w:pPr>
              <w:numPr>
                <w:ilvl w:val="0"/>
                <w:numId w:val="27"/>
              </w:numPr>
              <w:rPr>
                <w:rFonts w:ascii="Arial" w:eastAsia="Times New Roman" w:hAnsi="Arial" w:cs="Arial"/>
                <w:sz w:val="20"/>
                <w:szCs w:val="20"/>
                <w:lang w:eastAsia="en-GB"/>
              </w:rPr>
            </w:pPr>
            <w:r w:rsidRPr="000F4ECF">
              <w:rPr>
                <w:rFonts w:ascii="Arial" w:eastAsia="Times New Roman" w:hAnsi="Arial" w:cs="Arial"/>
                <w:sz w:val="20"/>
                <w:szCs w:val="20"/>
                <w:lang w:eastAsia="en-GB"/>
              </w:rPr>
              <w:t>Refocusing the operational estate</w:t>
            </w:r>
          </w:p>
          <w:p w14:paraId="3E4AEE3E" w14:textId="77777777" w:rsidR="000F4ECF" w:rsidRPr="000F4ECF" w:rsidRDefault="000F4ECF" w:rsidP="000F4ECF">
            <w:pPr>
              <w:numPr>
                <w:ilvl w:val="0"/>
                <w:numId w:val="27"/>
              </w:numPr>
              <w:rPr>
                <w:rFonts w:ascii="Arial" w:eastAsia="Times New Roman" w:hAnsi="Arial" w:cs="Arial"/>
                <w:sz w:val="20"/>
                <w:szCs w:val="20"/>
                <w:lang w:eastAsia="en-GB"/>
              </w:rPr>
            </w:pPr>
            <w:r w:rsidRPr="000F4ECF">
              <w:rPr>
                <w:rFonts w:ascii="Arial" w:eastAsia="Times New Roman" w:hAnsi="Arial" w:cs="Arial"/>
                <w:sz w:val="20"/>
                <w:szCs w:val="20"/>
                <w:lang w:eastAsia="en-GB"/>
              </w:rPr>
              <w:t>New income</w:t>
            </w:r>
          </w:p>
        </w:tc>
      </w:tr>
      <w:tr w:rsidR="000F4ECF" w:rsidRPr="000F4ECF" w14:paraId="0DBA950D" w14:textId="77777777" w:rsidTr="000F4ECF">
        <w:tc>
          <w:tcPr>
            <w:tcW w:w="2432" w:type="dxa"/>
            <w:vMerge/>
            <w:tcBorders>
              <w:left w:val="single" w:sz="24" w:space="0" w:color="auto"/>
            </w:tcBorders>
            <w:shd w:val="clear" w:color="auto" w:fill="auto"/>
            <w:vAlign w:val="center"/>
          </w:tcPr>
          <w:p w14:paraId="06B86298" w14:textId="77777777" w:rsidR="000F4ECF" w:rsidRPr="000F4ECF" w:rsidRDefault="000F4ECF" w:rsidP="000F4ECF">
            <w:pPr>
              <w:rPr>
                <w:rFonts w:ascii="Arial" w:eastAsia="Times New Roman" w:hAnsi="Arial" w:cs="Arial"/>
                <w:sz w:val="20"/>
                <w:szCs w:val="20"/>
                <w:lang w:eastAsia="en-GB"/>
              </w:rPr>
            </w:pPr>
          </w:p>
        </w:tc>
        <w:tc>
          <w:tcPr>
            <w:tcW w:w="2842" w:type="dxa"/>
            <w:shd w:val="clear" w:color="auto" w:fill="auto"/>
            <w:vAlign w:val="center"/>
          </w:tcPr>
          <w:p w14:paraId="6AAB03AF"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 xml:space="preserve">FM </w:t>
            </w:r>
          </w:p>
        </w:tc>
        <w:tc>
          <w:tcPr>
            <w:tcW w:w="4579" w:type="dxa"/>
            <w:tcBorders>
              <w:right w:val="single" w:sz="24" w:space="0" w:color="auto"/>
            </w:tcBorders>
            <w:shd w:val="clear" w:color="auto" w:fill="auto"/>
          </w:tcPr>
          <w:p w14:paraId="3DB93FB1" w14:textId="77777777" w:rsidR="000F4ECF" w:rsidRPr="000F4ECF" w:rsidRDefault="000F4ECF" w:rsidP="000F4ECF">
            <w:pPr>
              <w:numPr>
                <w:ilvl w:val="0"/>
                <w:numId w:val="28"/>
              </w:numPr>
              <w:rPr>
                <w:rFonts w:ascii="Arial" w:eastAsia="Times New Roman" w:hAnsi="Arial" w:cs="Arial"/>
                <w:sz w:val="20"/>
                <w:szCs w:val="20"/>
                <w:lang w:eastAsia="en-GB"/>
              </w:rPr>
            </w:pPr>
            <w:r w:rsidRPr="000F4ECF">
              <w:rPr>
                <w:rFonts w:ascii="Arial" w:eastAsia="Times New Roman" w:hAnsi="Arial" w:cs="Arial"/>
                <w:sz w:val="20"/>
                <w:szCs w:val="20"/>
                <w:lang w:eastAsia="en-GB"/>
              </w:rPr>
              <w:t>Realignment of contracts</w:t>
            </w:r>
          </w:p>
          <w:p w14:paraId="06CD5174" w14:textId="77777777" w:rsidR="000F4ECF" w:rsidRPr="000F4ECF" w:rsidRDefault="000F4ECF" w:rsidP="000F4ECF">
            <w:pPr>
              <w:numPr>
                <w:ilvl w:val="0"/>
                <w:numId w:val="28"/>
              </w:numPr>
              <w:rPr>
                <w:rFonts w:ascii="Arial" w:eastAsia="Times New Roman" w:hAnsi="Arial" w:cs="Arial"/>
                <w:sz w:val="20"/>
                <w:szCs w:val="20"/>
                <w:lang w:eastAsia="en-GB"/>
              </w:rPr>
            </w:pPr>
            <w:r w:rsidRPr="000F4ECF">
              <w:rPr>
                <w:rFonts w:ascii="Arial" w:eastAsia="Times New Roman" w:hAnsi="Arial" w:cs="Arial"/>
                <w:sz w:val="20"/>
                <w:szCs w:val="20"/>
                <w:lang w:eastAsia="en-GB"/>
              </w:rPr>
              <w:t>Integration of functions</w:t>
            </w:r>
          </w:p>
        </w:tc>
      </w:tr>
      <w:tr w:rsidR="000F4ECF" w:rsidRPr="000F4ECF" w14:paraId="029B3444" w14:textId="77777777" w:rsidTr="000F4ECF">
        <w:tc>
          <w:tcPr>
            <w:tcW w:w="2432" w:type="dxa"/>
            <w:vMerge/>
            <w:tcBorders>
              <w:left w:val="single" w:sz="24" w:space="0" w:color="auto"/>
              <w:bottom w:val="single" w:sz="24" w:space="0" w:color="auto"/>
            </w:tcBorders>
            <w:shd w:val="clear" w:color="auto" w:fill="auto"/>
            <w:vAlign w:val="center"/>
          </w:tcPr>
          <w:p w14:paraId="49F4D941" w14:textId="77777777" w:rsidR="000F4ECF" w:rsidRPr="000F4ECF" w:rsidRDefault="000F4ECF" w:rsidP="000F4ECF">
            <w:pPr>
              <w:rPr>
                <w:rFonts w:ascii="Arial" w:eastAsia="Times New Roman" w:hAnsi="Arial" w:cs="Arial"/>
                <w:sz w:val="20"/>
                <w:szCs w:val="20"/>
                <w:lang w:eastAsia="en-GB"/>
              </w:rPr>
            </w:pPr>
          </w:p>
        </w:tc>
        <w:tc>
          <w:tcPr>
            <w:tcW w:w="2842" w:type="dxa"/>
            <w:tcBorders>
              <w:bottom w:val="single" w:sz="24" w:space="0" w:color="auto"/>
            </w:tcBorders>
            <w:shd w:val="clear" w:color="auto" w:fill="auto"/>
            <w:vAlign w:val="center"/>
          </w:tcPr>
          <w:p w14:paraId="513F8208"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Sustainable and efficient estate</w:t>
            </w:r>
          </w:p>
        </w:tc>
        <w:tc>
          <w:tcPr>
            <w:tcW w:w="4579" w:type="dxa"/>
            <w:tcBorders>
              <w:bottom w:val="single" w:sz="24" w:space="0" w:color="auto"/>
              <w:right w:val="single" w:sz="24" w:space="0" w:color="auto"/>
            </w:tcBorders>
            <w:shd w:val="clear" w:color="auto" w:fill="auto"/>
          </w:tcPr>
          <w:p w14:paraId="0C6C4A92" w14:textId="77777777" w:rsidR="000F4ECF" w:rsidRPr="000F4ECF" w:rsidRDefault="000F4ECF" w:rsidP="000F4ECF">
            <w:pPr>
              <w:numPr>
                <w:ilvl w:val="0"/>
                <w:numId w:val="29"/>
              </w:numPr>
              <w:rPr>
                <w:rFonts w:ascii="Arial" w:eastAsia="Times New Roman" w:hAnsi="Arial" w:cs="Arial"/>
                <w:sz w:val="20"/>
                <w:szCs w:val="20"/>
                <w:lang w:eastAsia="en-GB"/>
              </w:rPr>
            </w:pPr>
            <w:r w:rsidRPr="000F4ECF">
              <w:rPr>
                <w:rFonts w:ascii="Arial" w:eastAsia="Times New Roman" w:hAnsi="Arial" w:cs="Arial"/>
                <w:sz w:val="20"/>
                <w:szCs w:val="20"/>
                <w:lang w:eastAsia="en-GB"/>
              </w:rPr>
              <w:t>Carbon/energy targets</w:t>
            </w:r>
          </w:p>
          <w:p w14:paraId="31757877" w14:textId="77777777" w:rsidR="000F4ECF" w:rsidRPr="000F4ECF" w:rsidRDefault="000F4ECF" w:rsidP="000F4ECF">
            <w:pPr>
              <w:numPr>
                <w:ilvl w:val="0"/>
                <w:numId w:val="29"/>
              </w:numPr>
              <w:rPr>
                <w:rFonts w:ascii="Arial" w:eastAsia="Times New Roman" w:hAnsi="Arial" w:cs="Arial"/>
                <w:sz w:val="20"/>
                <w:szCs w:val="20"/>
                <w:lang w:eastAsia="en-GB"/>
              </w:rPr>
            </w:pPr>
            <w:r w:rsidRPr="000F4ECF">
              <w:rPr>
                <w:rFonts w:ascii="Arial" w:eastAsia="Times New Roman" w:hAnsi="Arial" w:cs="Arial"/>
                <w:sz w:val="20"/>
                <w:szCs w:val="20"/>
                <w:lang w:eastAsia="en-GB"/>
              </w:rPr>
              <w:t>Corporate sustainability</w:t>
            </w:r>
          </w:p>
        </w:tc>
      </w:tr>
      <w:tr w:rsidR="000F4ECF" w:rsidRPr="000F4ECF" w14:paraId="59B0E112" w14:textId="77777777" w:rsidTr="000F4ECF">
        <w:tc>
          <w:tcPr>
            <w:tcW w:w="2432" w:type="dxa"/>
            <w:vMerge w:val="restart"/>
            <w:tcBorders>
              <w:top w:val="single" w:sz="24" w:space="0" w:color="auto"/>
              <w:left w:val="single" w:sz="24" w:space="0" w:color="auto"/>
            </w:tcBorders>
            <w:shd w:val="clear" w:color="auto" w:fill="auto"/>
            <w:vAlign w:val="center"/>
          </w:tcPr>
          <w:p w14:paraId="1730CFAD"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Commercial estate</w:t>
            </w:r>
          </w:p>
        </w:tc>
        <w:tc>
          <w:tcPr>
            <w:tcW w:w="2842" w:type="dxa"/>
            <w:tcBorders>
              <w:top w:val="single" w:sz="24" w:space="0" w:color="auto"/>
            </w:tcBorders>
            <w:shd w:val="clear" w:color="auto" w:fill="auto"/>
            <w:vAlign w:val="center"/>
          </w:tcPr>
          <w:p w14:paraId="469BD174"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A better balanced portfolio</w:t>
            </w:r>
          </w:p>
        </w:tc>
        <w:tc>
          <w:tcPr>
            <w:tcW w:w="4579" w:type="dxa"/>
            <w:tcBorders>
              <w:top w:val="single" w:sz="24" w:space="0" w:color="auto"/>
              <w:right w:val="single" w:sz="24" w:space="0" w:color="auto"/>
            </w:tcBorders>
            <w:shd w:val="clear" w:color="auto" w:fill="auto"/>
          </w:tcPr>
          <w:p w14:paraId="62BF230F" w14:textId="77777777" w:rsidR="000F4ECF" w:rsidRPr="000F4ECF" w:rsidRDefault="000F4ECF" w:rsidP="000F4ECF">
            <w:pPr>
              <w:numPr>
                <w:ilvl w:val="0"/>
                <w:numId w:val="30"/>
              </w:numPr>
              <w:rPr>
                <w:rFonts w:ascii="Arial" w:eastAsia="Times New Roman" w:hAnsi="Arial" w:cs="Arial"/>
                <w:sz w:val="20"/>
                <w:szCs w:val="20"/>
                <w:lang w:eastAsia="en-GB"/>
              </w:rPr>
            </w:pPr>
            <w:r w:rsidRPr="000F4ECF">
              <w:rPr>
                <w:rFonts w:ascii="Arial" w:eastAsia="Times New Roman" w:hAnsi="Arial" w:cs="Arial"/>
                <w:sz w:val="20"/>
                <w:szCs w:val="20"/>
                <w:lang w:eastAsia="en-GB"/>
              </w:rPr>
              <w:t>Development of underutilised commercial and housing assets</w:t>
            </w:r>
          </w:p>
        </w:tc>
      </w:tr>
      <w:tr w:rsidR="000F4ECF" w:rsidRPr="000F4ECF" w14:paraId="63101672" w14:textId="77777777" w:rsidTr="000F4ECF">
        <w:tc>
          <w:tcPr>
            <w:tcW w:w="2432" w:type="dxa"/>
            <w:vMerge/>
            <w:tcBorders>
              <w:left w:val="single" w:sz="24" w:space="0" w:color="auto"/>
              <w:bottom w:val="single" w:sz="24" w:space="0" w:color="auto"/>
            </w:tcBorders>
            <w:shd w:val="clear" w:color="auto" w:fill="auto"/>
            <w:vAlign w:val="center"/>
          </w:tcPr>
          <w:p w14:paraId="71B75B95" w14:textId="77777777" w:rsidR="000F4ECF" w:rsidRPr="000F4ECF" w:rsidRDefault="000F4ECF" w:rsidP="000F4ECF">
            <w:pPr>
              <w:rPr>
                <w:rFonts w:ascii="Arial" w:eastAsia="Times New Roman" w:hAnsi="Arial" w:cs="Arial"/>
                <w:sz w:val="20"/>
                <w:szCs w:val="20"/>
                <w:lang w:eastAsia="en-GB"/>
              </w:rPr>
            </w:pPr>
          </w:p>
        </w:tc>
        <w:tc>
          <w:tcPr>
            <w:tcW w:w="2842" w:type="dxa"/>
            <w:tcBorders>
              <w:bottom w:val="single" w:sz="24" w:space="0" w:color="auto"/>
            </w:tcBorders>
            <w:shd w:val="clear" w:color="auto" w:fill="auto"/>
            <w:vAlign w:val="center"/>
          </w:tcPr>
          <w:p w14:paraId="2241607C" w14:textId="77777777" w:rsidR="000F4ECF" w:rsidRPr="000F4ECF" w:rsidRDefault="000F4ECF" w:rsidP="000F4ECF">
            <w:pPr>
              <w:rPr>
                <w:rFonts w:ascii="Arial" w:eastAsia="Times New Roman" w:hAnsi="Arial" w:cs="Arial"/>
                <w:sz w:val="20"/>
                <w:szCs w:val="20"/>
                <w:lang w:eastAsia="en-GB"/>
              </w:rPr>
            </w:pPr>
            <w:r w:rsidRPr="000F4ECF">
              <w:rPr>
                <w:rFonts w:ascii="Arial" w:eastAsia="Times New Roman" w:hAnsi="Arial" w:cs="Arial"/>
                <w:sz w:val="20"/>
                <w:szCs w:val="20"/>
                <w:lang w:eastAsia="en-GB"/>
              </w:rPr>
              <w:t>Increased income</w:t>
            </w:r>
          </w:p>
        </w:tc>
        <w:tc>
          <w:tcPr>
            <w:tcW w:w="4579" w:type="dxa"/>
            <w:tcBorders>
              <w:bottom w:val="single" w:sz="24" w:space="0" w:color="auto"/>
              <w:right w:val="single" w:sz="24" w:space="0" w:color="auto"/>
            </w:tcBorders>
            <w:shd w:val="clear" w:color="auto" w:fill="auto"/>
          </w:tcPr>
          <w:p w14:paraId="411F4A8A" w14:textId="77777777" w:rsidR="000F4ECF" w:rsidRPr="000F4ECF" w:rsidRDefault="000F4ECF" w:rsidP="000F4ECF">
            <w:pPr>
              <w:numPr>
                <w:ilvl w:val="0"/>
                <w:numId w:val="31"/>
              </w:numPr>
              <w:rPr>
                <w:rFonts w:ascii="Arial" w:eastAsia="Times New Roman" w:hAnsi="Arial" w:cs="Arial"/>
                <w:sz w:val="20"/>
                <w:szCs w:val="20"/>
                <w:lang w:eastAsia="en-GB"/>
              </w:rPr>
            </w:pPr>
            <w:r w:rsidRPr="000F4ECF">
              <w:rPr>
                <w:rFonts w:ascii="Arial" w:eastAsia="Times New Roman" w:hAnsi="Arial" w:cs="Arial"/>
                <w:sz w:val="20"/>
                <w:szCs w:val="20"/>
                <w:lang w:eastAsia="en-GB"/>
              </w:rPr>
              <w:t>Rent review of all assets and programme of lease renewals and re-gears</w:t>
            </w:r>
          </w:p>
          <w:p w14:paraId="687B73A3" w14:textId="77777777" w:rsidR="000F4ECF" w:rsidRPr="000F4ECF" w:rsidRDefault="000F4ECF" w:rsidP="000F4ECF">
            <w:pPr>
              <w:numPr>
                <w:ilvl w:val="0"/>
                <w:numId w:val="31"/>
              </w:numPr>
              <w:rPr>
                <w:rFonts w:ascii="Arial" w:eastAsia="Times New Roman" w:hAnsi="Arial" w:cs="Arial"/>
                <w:sz w:val="20"/>
                <w:szCs w:val="20"/>
                <w:lang w:eastAsia="en-GB"/>
              </w:rPr>
            </w:pPr>
            <w:r w:rsidRPr="000F4ECF">
              <w:rPr>
                <w:rFonts w:ascii="Arial" w:eastAsia="Times New Roman" w:hAnsi="Arial" w:cs="Arial"/>
                <w:sz w:val="20"/>
                <w:szCs w:val="20"/>
                <w:lang w:eastAsia="en-GB"/>
              </w:rPr>
              <w:t>Proactive income collection, void minimisation and debt recovery</w:t>
            </w:r>
          </w:p>
        </w:tc>
      </w:tr>
    </w:tbl>
    <w:p w14:paraId="40A7E1DD" w14:textId="77777777" w:rsidR="000F4ECF" w:rsidRDefault="000F4ECF" w:rsidP="00DF5976"/>
    <w:p w14:paraId="6359CC91" w14:textId="77777777" w:rsidR="00386D5A" w:rsidRDefault="00386D5A" w:rsidP="00DF5976"/>
    <w:p w14:paraId="0E06CE0B" w14:textId="77777777" w:rsidR="00386D5A" w:rsidRDefault="00386D5A" w:rsidP="00DF5976"/>
    <w:p w14:paraId="17B75214" w14:textId="77777777" w:rsidR="00C56615" w:rsidRPr="005B724A" w:rsidRDefault="00C56615" w:rsidP="00DF5976"/>
    <w:p w14:paraId="0516548B" w14:textId="77777777" w:rsidR="00C807D6" w:rsidRDefault="00C807D6">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51490B8B" w14:textId="4DEFD6F5" w:rsidR="00DF5976" w:rsidRPr="00160C74" w:rsidRDefault="005F311C" w:rsidP="00DF5976">
      <w:pPr>
        <w:rPr>
          <w:rFonts w:asciiTheme="minorHAnsi" w:hAnsiTheme="minorHAnsi" w:cstheme="minorHAnsi"/>
          <w:b/>
          <w:sz w:val="24"/>
          <w:szCs w:val="24"/>
        </w:rPr>
      </w:pPr>
      <w:r w:rsidRPr="00160C74">
        <w:rPr>
          <w:rFonts w:asciiTheme="minorHAnsi" w:hAnsiTheme="minorHAnsi" w:cstheme="minorHAnsi"/>
          <w:b/>
          <w:sz w:val="24"/>
          <w:szCs w:val="24"/>
        </w:rPr>
        <w:lastRenderedPageBreak/>
        <w:t>4</w:t>
      </w:r>
      <w:r w:rsidR="00DF5976" w:rsidRPr="00160C74">
        <w:rPr>
          <w:rFonts w:asciiTheme="minorHAnsi" w:hAnsiTheme="minorHAnsi" w:cstheme="minorHAnsi"/>
          <w:b/>
          <w:sz w:val="24"/>
          <w:szCs w:val="24"/>
        </w:rPr>
        <w:t>.</w:t>
      </w:r>
      <w:r w:rsidR="00963A6B" w:rsidRPr="00160C74">
        <w:rPr>
          <w:rFonts w:asciiTheme="minorHAnsi" w:hAnsiTheme="minorHAnsi" w:cstheme="minorHAnsi"/>
          <w:b/>
          <w:sz w:val="24"/>
          <w:szCs w:val="24"/>
        </w:rPr>
        <w:t>2</w:t>
      </w:r>
      <w:r w:rsidR="00C933F7" w:rsidRPr="00160C74">
        <w:rPr>
          <w:rFonts w:asciiTheme="minorHAnsi" w:hAnsiTheme="minorHAnsi" w:cstheme="minorHAnsi"/>
          <w:b/>
          <w:sz w:val="24"/>
          <w:szCs w:val="24"/>
        </w:rPr>
        <w:tab/>
      </w:r>
      <w:r w:rsidR="00DF5976" w:rsidRPr="00160C74">
        <w:rPr>
          <w:rFonts w:asciiTheme="minorHAnsi" w:hAnsiTheme="minorHAnsi" w:cstheme="minorHAnsi"/>
          <w:b/>
          <w:sz w:val="24"/>
          <w:szCs w:val="24"/>
        </w:rPr>
        <w:t>P</w:t>
      </w:r>
      <w:r w:rsidR="00B16DB0" w:rsidRPr="00160C74">
        <w:rPr>
          <w:rFonts w:asciiTheme="minorHAnsi" w:hAnsiTheme="minorHAnsi" w:cstheme="minorHAnsi"/>
          <w:b/>
          <w:sz w:val="24"/>
          <w:szCs w:val="24"/>
        </w:rPr>
        <w:t xml:space="preserve">erformance </w:t>
      </w:r>
      <w:r w:rsidR="00C933F7" w:rsidRPr="00160C74">
        <w:rPr>
          <w:rFonts w:asciiTheme="minorHAnsi" w:hAnsiTheme="minorHAnsi" w:cstheme="minorHAnsi"/>
          <w:b/>
          <w:sz w:val="24"/>
          <w:szCs w:val="24"/>
        </w:rPr>
        <w:t>i</w:t>
      </w:r>
      <w:r w:rsidR="00B16DB0" w:rsidRPr="00160C74">
        <w:rPr>
          <w:rFonts w:asciiTheme="minorHAnsi" w:hAnsiTheme="minorHAnsi" w:cstheme="minorHAnsi"/>
          <w:b/>
          <w:sz w:val="24"/>
          <w:szCs w:val="24"/>
        </w:rPr>
        <w:t>ndicators</w:t>
      </w:r>
    </w:p>
    <w:p w14:paraId="33D7CEAE" w14:textId="77777777" w:rsidR="00C933F7" w:rsidRDefault="00C933F7" w:rsidP="00940844">
      <w:pPr>
        <w:rPr>
          <w:rFonts w:asciiTheme="minorHAnsi" w:eastAsia="Times New Roman" w:hAnsiTheme="minorHAnsi" w:cstheme="minorHAnsi"/>
        </w:rPr>
      </w:pPr>
    </w:p>
    <w:p w14:paraId="12C78521" w14:textId="77777777" w:rsidR="00057B1F" w:rsidRDefault="00C933F7" w:rsidP="00940844">
      <w:pPr>
        <w:rPr>
          <w:rFonts w:asciiTheme="minorHAnsi" w:eastAsia="Times New Roman" w:hAnsiTheme="minorHAnsi" w:cstheme="minorHAnsi"/>
        </w:rPr>
      </w:pPr>
      <w:r>
        <w:rPr>
          <w:rFonts w:asciiTheme="minorHAnsi" w:eastAsia="Times New Roman" w:hAnsiTheme="minorHAnsi" w:cstheme="minorHAnsi"/>
        </w:rPr>
        <w:t>Performance indicators have a</w:t>
      </w:r>
      <w:r w:rsidR="00253875">
        <w:rPr>
          <w:rFonts w:asciiTheme="minorHAnsi" w:eastAsia="Times New Roman" w:hAnsiTheme="minorHAnsi" w:cstheme="minorHAnsi"/>
        </w:rPr>
        <w:t xml:space="preserve"> fundamental </w:t>
      </w:r>
      <w:r>
        <w:rPr>
          <w:rFonts w:asciiTheme="minorHAnsi" w:eastAsia="Times New Roman" w:hAnsiTheme="minorHAnsi" w:cstheme="minorHAnsi"/>
        </w:rPr>
        <w:t>role to play within a s</w:t>
      </w:r>
      <w:r w:rsidRPr="005B724A">
        <w:rPr>
          <w:rFonts w:asciiTheme="minorHAnsi" w:eastAsia="Times New Roman" w:hAnsiTheme="minorHAnsi" w:cstheme="minorHAnsi"/>
        </w:rPr>
        <w:t xml:space="preserve">trengthened performance management regime </w:t>
      </w:r>
      <w:r>
        <w:rPr>
          <w:rFonts w:asciiTheme="minorHAnsi" w:eastAsia="Times New Roman" w:hAnsiTheme="minorHAnsi" w:cstheme="minorHAnsi"/>
        </w:rPr>
        <w:t xml:space="preserve">for the corporate running of assets.  </w:t>
      </w:r>
    </w:p>
    <w:p w14:paraId="4EA18322" w14:textId="77777777" w:rsidR="00057B1F" w:rsidRDefault="00057B1F" w:rsidP="00940844">
      <w:pPr>
        <w:rPr>
          <w:rFonts w:asciiTheme="minorHAnsi" w:eastAsia="Times New Roman" w:hAnsiTheme="minorHAnsi" w:cstheme="minorHAnsi"/>
        </w:rPr>
      </w:pPr>
    </w:p>
    <w:p w14:paraId="0ABF9A0F" w14:textId="228F84D3" w:rsidR="00E30AEF" w:rsidRDefault="00AC6F27" w:rsidP="00940844">
      <w:pPr>
        <w:rPr>
          <w:rFonts w:asciiTheme="minorHAnsi" w:eastAsia="Times New Roman" w:hAnsiTheme="minorHAnsi" w:cstheme="minorHAnsi"/>
        </w:rPr>
      </w:pPr>
      <w:r>
        <w:rPr>
          <w:rFonts w:asciiTheme="minorHAnsi" w:eastAsia="Times New Roman" w:hAnsiTheme="minorHAnsi" w:cstheme="minorHAnsi"/>
        </w:rPr>
        <w:t xml:space="preserve">There are a </w:t>
      </w:r>
      <w:r w:rsidR="00E30AEF">
        <w:rPr>
          <w:rFonts w:asciiTheme="minorHAnsi" w:eastAsia="Times New Roman" w:hAnsiTheme="minorHAnsi" w:cstheme="minorHAnsi"/>
        </w:rPr>
        <w:t xml:space="preserve">wide range of targets and measures </w:t>
      </w:r>
      <w:r>
        <w:rPr>
          <w:rFonts w:asciiTheme="minorHAnsi" w:eastAsia="Times New Roman" w:hAnsiTheme="minorHAnsi" w:cstheme="minorHAnsi"/>
        </w:rPr>
        <w:t xml:space="preserve">used to </w:t>
      </w:r>
      <w:r w:rsidR="00E30AEF">
        <w:rPr>
          <w:rFonts w:asciiTheme="minorHAnsi" w:eastAsia="Times New Roman" w:hAnsiTheme="minorHAnsi" w:cstheme="minorHAnsi"/>
        </w:rPr>
        <w:t>assess performance and direct resources</w:t>
      </w:r>
      <w:r>
        <w:rPr>
          <w:rFonts w:asciiTheme="minorHAnsi" w:eastAsia="Times New Roman" w:hAnsiTheme="minorHAnsi" w:cstheme="minorHAnsi"/>
        </w:rPr>
        <w:t xml:space="preserve"> on assets</w:t>
      </w:r>
      <w:r w:rsidR="00E30AEF">
        <w:rPr>
          <w:rFonts w:asciiTheme="minorHAnsi" w:eastAsia="Times New Roman" w:hAnsiTheme="minorHAnsi" w:cstheme="minorHAnsi"/>
        </w:rPr>
        <w:t>.  These measures will be captured within work plans and as part of Project Initiation Documents and the wider processes for p</w:t>
      </w:r>
      <w:r>
        <w:rPr>
          <w:rFonts w:asciiTheme="minorHAnsi" w:eastAsia="Times New Roman" w:hAnsiTheme="minorHAnsi" w:cstheme="minorHAnsi"/>
        </w:rPr>
        <w:t xml:space="preserve">rogramme and project management with a core set of Key Performance Indicators used to manage the overall programme and for reporting in the planned Annual Business Report. </w:t>
      </w:r>
      <w:r w:rsidR="00E30AEF">
        <w:rPr>
          <w:rFonts w:asciiTheme="minorHAnsi" w:eastAsia="Times New Roman" w:hAnsiTheme="minorHAnsi" w:cstheme="minorHAnsi"/>
        </w:rPr>
        <w:t>Corporately and at a divisional level performance indicators will be spilt into the following headings:</w:t>
      </w:r>
    </w:p>
    <w:p w14:paraId="124A88BB" w14:textId="77777777" w:rsidR="00E30AEF" w:rsidRDefault="00E30AEF" w:rsidP="00940844">
      <w:pPr>
        <w:rPr>
          <w:rFonts w:asciiTheme="minorHAnsi" w:eastAsia="Times New Roman" w:hAnsiTheme="minorHAnsi" w:cstheme="minorHAnsi"/>
        </w:rPr>
      </w:pPr>
    </w:p>
    <w:p w14:paraId="3C45C8D0" w14:textId="0E5EA22E" w:rsidR="00E30AEF" w:rsidRPr="00490D97" w:rsidRDefault="00E30AEF" w:rsidP="00940844">
      <w:pPr>
        <w:rPr>
          <w:rFonts w:asciiTheme="minorHAnsi" w:eastAsia="Times New Roman" w:hAnsiTheme="minorHAnsi" w:cstheme="minorHAnsi"/>
          <w:u w:val="single"/>
        </w:rPr>
      </w:pPr>
      <w:r w:rsidRPr="00490D97">
        <w:rPr>
          <w:rFonts w:asciiTheme="minorHAnsi" w:eastAsia="Times New Roman" w:hAnsiTheme="minorHAnsi" w:cstheme="minorHAnsi"/>
          <w:u w:val="single"/>
        </w:rPr>
        <w:t>Corporate and financial</w:t>
      </w:r>
    </w:p>
    <w:p w14:paraId="580A4A21" w14:textId="1E949F3D" w:rsidR="00E30AEF" w:rsidRDefault="00E30AEF" w:rsidP="00C1048E">
      <w:pPr>
        <w:pStyle w:val="ListParagraph"/>
        <w:numPr>
          <w:ilvl w:val="0"/>
          <w:numId w:val="55"/>
        </w:numPr>
        <w:rPr>
          <w:rFonts w:asciiTheme="minorHAnsi" w:eastAsia="Times New Roman" w:hAnsiTheme="minorHAnsi" w:cstheme="minorHAnsi"/>
        </w:rPr>
      </w:pPr>
      <w:r w:rsidRPr="00490D97">
        <w:rPr>
          <w:rFonts w:asciiTheme="minorHAnsi" w:eastAsia="Times New Roman" w:hAnsiTheme="minorHAnsi" w:cstheme="minorHAnsi"/>
        </w:rPr>
        <w:t xml:space="preserve">Overall </w:t>
      </w:r>
      <w:r w:rsidR="00490D97" w:rsidRPr="00490D97">
        <w:rPr>
          <w:rFonts w:asciiTheme="minorHAnsi" w:eastAsia="Times New Roman" w:hAnsiTheme="minorHAnsi" w:cstheme="minorHAnsi"/>
        </w:rPr>
        <w:t xml:space="preserve">revenue </w:t>
      </w:r>
      <w:r w:rsidRPr="00490D97">
        <w:rPr>
          <w:rFonts w:asciiTheme="minorHAnsi" w:eastAsia="Times New Roman" w:hAnsiTheme="minorHAnsi" w:cstheme="minorHAnsi"/>
        </w:rPr>
        <w:t>expenditure to date / forecast / vs budget</w:t>
      </w:r>
      <w:r w:rsidR="00490D97" w:rsidRPr="00490D97">
        <w:rPr>
          <w:rFonts w:asciiTheme="minorHAnsi" w:eastAsia="Times New Roman" w:hAnsiTheme="minorHAnsi" w:cstheme="minorHAnsi"/>
        </w:rPr>
        <w:t xml:space="preserve"> and savings targets</w:t>
      </w:r>
    </w:p>
    <w:p w14:paraId="54D31315" w14:textId="3275D0E3" w:rsidR="000F4ECF" w:rsidRDefault="000F4ECF" w:rsidP="00C1048E">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Overall profit and loss for assets as a whole and by area</w:t>
      </w:r>
    </w:p>
    <w:p w14:paraId="59F61309" w14:textId="5045178F" w:rsidR="00490D97" w:rsidRDefault="00490D97" w:rsidP="00C1048E">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Revenue expenditure split by category of spend</w:t>
      </w:r>
    </w:p>
    <w:p w14:paraId="25344815" w14:textId="53CF7CDD" w:rsidR="00490D97" w:rsidRDefault="00490D97" w:rsidP="00C1048E">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Overall capital expenditure to date / forecast / vs budget</w:t>
      </w:r>
    </w:p>
    <w:p w14:paraId="61BE1243" w14:textId="41E6A893" w:rsidR="00490D97" w:rsidRDefault="00490D97" w:rsidP="00C1048E">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HR measures including staffing levels / sickness</w:t>
      </w:r>
    </w:p>
    <w:p w14:paraId="05A5BA3F" w14:textId="06634904" w:rsidR="00490D97" w:rsidRDefault="00490D97" w:rsidP="00C1048E">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Roll out and viability of the Asset Management System</w:t>
      </w:r>
    </w:p>
    <w:p w14:paraId="48DDF741" w14:textId="145F8C30" w:rsidR="00490D97" w:rsidRPr="00490D97" w:rsidRDefault="00490D97" w:rsidP="00C1048E">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Complaints / casework / correspondence performance against corporate targets</w:t>
      </w:r>
    </w:p>
    <w:p w14:paraId="62D0A09C" w14:textId="4FB5C1C2" w:rsidR="00490D97" w:rsidRPr="00490D97" w:rsidRDefault="00490D97" w:rsidP="00C1048E">
      <w:pPr>
        <w:pStyle w:val="ListParagraph"/>
        <w:numPr>
          <w:ilvl w:val="0"/>
          <w:numId w:val="56"/>
        </w:numPr>
        <w:rPr>
          <w:rFonts w:asciiTheme="minorHAnsi" w:eastAsia="Times New Roman" w:hAnsiTheme="minorHAnsi" w:cstheme="minorHAnsi"/>
        </w:rPr>
      </w:pPr>
      <w:r>
        <w:rPr>
          <w:rFonts w:asciiTheme="minorHAnsi" w:eastAsia="Times New Roman" w:hAnsiTheme="minorHAnsi" w:cstheme="minorHAnsi"/>
        </w:rPr>
        <w:t>% highlight reports signed off by SROs</w:t>
      </w:r>
      <w:r w:rsidR="000F4ECF">
        <w:rPr>
          <w:rFonts w:asciiTheme="minorHAnsi" w:eastAsia="Times New Roman" w:hAnsiTheme="minorHAnsi" w:cstheme="minorHAnsi"/>
        </w:rPr>
        <w:t xml:space="preserve"> and delivery of programme and project milestones</w:t>
      </w:r>
    </w:p>
    <w:p w14:paraId="1F40219D" w14:textId="77777777" w:rsidR="00490D97" w:rsidRDefault="00490D97" w:rsidP="00940844">
      <w:pPr>
        <w:rPr>
          <w:rFonts w:asciiTheme="minorHAnsi" w:eastAsia="Times New Roman" w:hAnsiTheme="minorHAnsi" w:cstheme="minorHAnsi"/>
        </w:rPr>
      </w:pPr>
    </w:p>
    <w:p w14:paraId="0FC83324" w14:textId="55504285" w:rsidR="00E30AEF" w:rsidRPr="00490D97" w:rsidRDefault="00E30AEF" w:rsidP="00940844">
      <w:pPr>
        <w:rPr>
          <w:rFonts w:asciiTheme="minorHAnsi" w:eastAsia="Times New Roman" w:hAnsiTheme="minorHAnsi" w:cstheme="minorHAnsi"/>
          <w:u w:val="single"/>
        </w:rPr>
      </w:pPr>
      <w:r w:rsidRPr="00490D97">
        <w:rPr>
          <w:rFonts w:asciiTheme="minorHAnsi" w:eastAsia="Times New Roman" w:hAnsiTheme="minorHAnsi" w:cstheme="minorHAnsi"/>
          <w:u w:val="single"/>
        </w:rPr>
        <w:t>Operational estate</w:t>
      </w:r>
    </w:p>
    <w:p w14:paraId="7A5645E5" w14:textId="49EAF6C2" w:rsidR="00490D97" w:rsidRDefault="00490D97" w:rsidP="00C1048E">
      <w:pPr>
        <w:pStyle w:val="ListParagraph"/>
        <w:numPr>
          <w:ilvl w:val="0"/>
          <w:numId w:val="56"/>
        </w:numPr>
        <w:rPr>
          <w:rFonts w:asciiTheme="minorHAnsi" w:eastAsia="Times New Roman" w:hAnsiTheme="minorHAnsi" w:cstheme="minorHAnsi"/>
        </w:rPr>
      </w:pPr>
      <w:r>
        <w:rPr>
          <w:rFonts w:asciiTheme="minorHAnsi" w:eastAsia="Times New Roman" w:hAnsiTheme="minorHAnsi" w:cstheme="minorHAnsi"/>
        </w:rPr>
        <w:t>Non-housing assets by category / service directorate</w:t>
      </w:r>
    </w:p>
    <w:p w14:paraId="3D9195CE" w14:textId="72499975" w:rsidR="00490D97" w:rsidRDefault="00AC6F27" w:rsidP="00C1048E">
      <w:pPr>
        <w:pStyle w:val="ListParagraph"/>
        <w:numPr>
          <w:ilvl w:val="0"/>
          <w:numId w:val="56"/>
        </w:numPr>
        <w:rPr>
          <w:rFonts w:asciiTheme="minorHAnsi" w:eastAsia="Times New Roman" w:hAnsiTheme="minorHAnsi" w:cstheme="minorHAnsi"/>
        </w:rPr>
      </w:pPr>
      <w:r>
        <w:rPr>
          <w:rFonts w:asciiTheme="minorHAnsi" w:eastAsia="Times New Roman" w:hAnsiTheme="minorHAnsi" w:cstheme="minorHAnsi"/>
        </w:rPr>
        <w:t>FM: cleaning performance; security performance</w:t>
      </w:r>
    </w:p>
    <w:p w14:paraId="0D928AFE" w14:textId="16367E58" w:rsidR="00490D97" w:rsidRDefault="00490D97" w:rsidP="00C1048E">
      <w:pPr>
        <w:pStyle w:val="ListParagraph"/>
        <w:numPr>
          <w:ilvl w:val="0"/>
          <w:numId w:val="56"/>
        </w:numPr>
        <w:rPr>
          <w:rFonts w:asciiTheme="minorHAnsi" w:eastAsia="Times New Roman" w:hAnsiTheme="minorHAnsi" w:cstheme="minorHAnsi"/>
        </w:rPr>
      </w:pPr>
      <w:r>
        <w:rPr>
          <w:rFonts w:asciiTheme="minorHAnsi" w:eastAsia="Times New Roman" w:hAnsiTheme="minorHAnsi" w:cstheme="minorHAnsi"/>
        </w:rPr>
        <w:t>Statutory compliance</w:t>
      </w:r>
      <w:r w:rsidR="00AC6F27">
        <w:rPr>
          <w:rFonts w:asciiTheme="minorHAnsi" w:eastAsia="Times New Roman" w:hAnsiTheme="minorHAnsi" w:cstheme="minorHAnsi"/>
        </w:rPr>
        <w:t>: water hygiene, equalities; PPM; fire evacuation</w:t>
      </w:r>
    </w:p>
    <w:p w14:paraId="67B8FB84" w14:textId="61D05617" w:rsidR="00490D97" w:rsidRPr="00490D97" w:rsidRDefault="00490D97" w:rsidP="00C1048E">
      <w:pPr>
        <w:pStyle w:val="ListParagraph"/>
        <w:numPr>
          <w:ilvl w:val="0"/>
          <w:numId w:val="56"/>
        </w:numPr>
        <w:rPr>
          <w:rFonts w:asciiTheme="minorHAnsi" w:eastAsia="Times New Roman" w:hAnsiTheme="minorHAnsi" w:cstheme="minorHAnsi"/>
        </w:rPr>
      </w:pPr>
      <w:r>
        <w:rPr>
          <w:rFonts w:asciiTheme="minorHAnsi" w:eastAsia="Times New Roman" w:hAnsiTheme="minorHAnsi" w:cstheme="minorHAnsi"/>
        </w:rPr>
        <w:t>Corporate sustainability</w:t>
      </w:r>
      <w:r w:rsidR="00AC6F27">
        <w:rPr>
          <w:rFonts w:asciiTheme="minorHAnsi" w:eastAsia="Times New Roman" w:hAnsiTheme="minorHAnsi" w:cstheme="minorHAnsi"/>
        </w:rPr>
        <w:t>: carbon footprint; waste and recycling; water</w:t>
      </w:r>
    </w:p>
    <w:p w14:paraId="16047B93" w14:textId="77777777" w:rsidR="00490D97" w:rsidRDefault="00490D97" w:rsidP="00940844">
      <w:pPr>
        <w:rPr>
          <w:rFonts w:asciiTheme="minorHAnsi" w:eastAsia="Times New Roman" w:hAnsiTheme="minorHAnsi" w:cstheme="minorHAnsi"/>
        </w:rPr>
      </w:pPr>
    </w:p>
    <w:p w14:paraId="0EA11932" w14:textId="6A41C211" w:rsidR="00E30AEF" w:rsidRPr="00490D97" w:rsidRDefault="00E30AEF" w:rsidP="00940844">
      <w:pPr>
        <w:rPr>
          <w:rFonts w:asciiTheme="minorHAnsi" w:eastAsia="Times New Roman" w:hAnsiTheme="minorHAnsi" w:cstheme="minorHAnsi"/>
          <w:u w:val="single"/>
        </w:rPr>
      </w:pPr>
      <w:r w:rsidRPr="00490D97">
        <w:rPr>
          <w:rFonts w:asciiTheme="minorHAnsi" w:eastAsia="Times New Roman" w:hAnsiTheme="minorHAnsi" w:cstheme="minorHAnsi"/>
          <w:u w:val="single"/>
        </w:rPr>
        <w:t>Commercial estate</w:t>
      </w:r>
    </w:p>
    <w:p w14:paraId="4505702C" w14:textId="5F035851"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Propery numbers and value</w:t>
      </w:r>
    </w:p>
    <w:p w14:paraId="2BDD2C90" w14:textId="68AB6FB7"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Monthly income receivable (general fund / HRA)</w:t>
      </w:r>
    </w:p>
    <w:p w14:paraId="1D5F361B" w14:textId="0660714C"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 portfolio valued annually</w:t>
      </w:r>
    </w:p>
    <w:p w14:paraId="13E9AB61" w14:textId="0AF2CB12"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Right to buy valuations completed within deadline</w:t>
      </w:r>
    </w:p>
    <w:p w14:paraId="3CE727E8" w14:textId="09381A60"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Vacant properties</w:t>
      </w:r>
    </w:p>
    <w:p w14:paraId="1F653893" w14:textId="072BD99B"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Debt</w:t>
      </w:r>
    </w:p>
    <w:p w14:paraId="4858867A" w14:textId="3228604A"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Rateable value % savings</w:t>
      </w:r>
    </w:p>
    <w:p w14:paraId="3847B646" w14:textId="50A3BFAA" w:rsidR="00490D97" w:rsidRDefault="00490D97" w:rsidP="00C1048E">
      <w:pPr>
        <w:pStyle w:val="ListParagraph"/>
        <w:numPr>
          <w:ilvl w:val="0"/>
          <w:numId w:val="57"/>
        </w:numPr>
        <w:rPr>
          <w:rFonts w:asciiTheme="minorHAnsi" w:eastAsia="Times New Roman" w:hAnsiTheme="minorHAnsi" w:cstheme="minorHAnsi"/>
        </w:rPr>
      </w:pPr>
      <w:r>
        <w:rPr>
          <w:rFonts w:asciiTheme="minorHAnsi" w:eastAsia="Times New Roman" w:hAnsiTheme="minorHAnsi" w:cstheme="minorHAnsi"/>
        </w:rPr>
        <w:t xml:space="preserve">Average rent £ per sq. m </w:t>
      </w:r>
    </w:p>
    <w:p w14:paraId="5202CDF3" w14:textId="77777777" w:rsidR="00490D97" w:rsidRPr="00490D97" w:rsidRDefault="00490D97" w:rsidP="00490D97">
      <w:pPr>
        <w:pStyle w:val="ListParagraph"/>
        <w:rPr>
          <w:rFonts w:asciiTheme="minorHAnsi" w:eastAsia="Times New Roman" w:hAnsiTheme="minorHAnsi" w:cstheme="minorHAnsi"/>
        </w:rPr>
      </w:pPr>
    </w:p>
    <w:p w14:paraId="697FE359" w14:textId="7C3F8AAE" w:rsidR="00E30AEF" w:rsidRPr="00490D97" w:rsidRDefault="00E30AEF" w:rsidP="00940844">
      <w:pPr>
        <w:rPr>
          <w:rFonts w:asciiTheme="minorHAnsi" w:eastAsia="Times New Roman" w:hAnsiTheme="minorHAnsi" w:cstheme="minorHAnsi"/>
          <w:u w:val="single"/>
        </w:rPr>
      </w:pPr>
      <w:r w:rsidRPr="00490D97">
        <w:rPr>
          <w:rFonts w:asciiTheme="minorHAnsi" w:eastAsia="Times New Roman" w:hAnsiTheme="minorHAnsi" w:cstheme="minorHAnsi"/>
          <w:u w:val="single"/>
        </w:rPr>
        <w:t>Highways and transport</w:t>
      </w:r>
    </w:p>
    <w:p w14:paraId="540B6736" w14:textId="77777777" w:rsidR="00490D97" w:rsidRDefault="00490D97" w:rsidP="00C1048E">
      <w:pPr>
        <w:pStyle w:val="ListParagraph"/>
        <w:numPr>
          <w:ilvl w:val="0"/>
          <w:numId w:val="58"/>
        </w:numPr>
        <w:rPr>
          <w:rFonts w:asciiTheme="minorHAnsi" w:eastAsia="Times New Roman" w:hAnsiTheme="minorHAnsi" w:cstheme="minorHAnsi"/>
        </w:rPr>
      </w:pPr>
      <w:r>
        <w:rPr>
          <w:rFonts w:asciiTheme="minorHAnsi" w:eastAsia="Times New Roman" w:hAnsiTheme="minorHAnsi" w:cstheme="minorHAnsi"/>
        </w:rPr>
        <w:t>Value of assets</w:t>
      </w:r>
    </w:p>
    <w:p w14:paraId="3806FC93" w14:textId="7DBD7B4D" w:rsidR="00490D97" w:rsidRPr="000F4ECF" w:rsidRDefault="00490D97" w:rsidP="00C1048E">
      <w:pPr>
        <w:pStyle w:val="ListParagraph"/>
        <w:numPr>
          <w:ilvl w:val="0"/>
          <w:numId w:val="58"/>
        </w:numPr>
        <w:rPr>
          <w:rFonts w:asciiTheme="minorHAnsi" w:eastAsia="Times New Roman" w:hAnsiTheme="minorHAnsi" w:cstheme="minorHAnsi"/>
        </w:rPr>
      </w:pPr>
      <w:r w:rsidRPr="000F4ECF">
        <w:rPr>
          <w:rFonts w:asciiTheme="minorHAnsi" w:eastAsia="Times New Roman" w:hAnsiTheme="minorHAnsi" w:cstheme="minorHAnsi"/>
        </w:rPr>
        <w:t>Non-principle roads fit for purpose</w:t>
      </w:r>
      <w:r w:rsidR="000F4ECF" w:rsidRPr="000F4ECF">
        <w:rPr>
          <w:rFonts w:asciiTheme="minorHAnsi" w:eastAsia="Times New Roman" w:hAnsiTheme="minorHAnsi" w:cstheme="minorHAnsi"/>
        </w:rPr>
        <w:t xml:space="preserve"> and </w:t>
      </w:r>
      <w:r w:rsidR="000F4ECF">
        <w:rPr>
          <w:rFonts w:asciiTheme="minorHAnsi" w:eastAsia="Times New Roman" w:hAnsiTheme="minorHAnsi" w:cstheme="minorHAnsi"/>
        </w:rPr>
        <w:t>v</w:t>
      </w:r>
      <w:r w:rsidRPr="000F4ECF">
        <w:rPr>
          <w:rFonts w:asciiTheme="minorHAnsi" w:eastAsia="Times New Roman" w:hAnsiTheme="minorHAnsi" w:cstheme="minorHAnsi"/>
        </w:rPr>
        <w:t>alue of work reqired to make fit for purpose</w:t>
      </w:r>
    </w:p>
    <w:p w14:paraId="4E36CF1E" w14:textId="763A31ED" w:rsidR="00490D97" w:rsidRDefault="00490D97" w:rsidP="00C1048E">
      <w:pPr>
        <w:pStyle w:val="ListParagraph"/>
        <w:numPr>
          <w:ilvl w:val="0"/>
          <w:numId w:val="58"/>
        </w:numPr>
        <w:rPr>
          <w:rFonts w:asciiTheme="minorHAnsi" w:eastAsia="Times New Roman" w:hAnsiTheme="minorHAnsi" w:cstheme="minorHAnsi"/>
        </w:rPr>
      </w:pPr>
      <w:r>
        <w:rPr>
          <w:rFonts w:asciiTheme="minorHAnsi" w:eastAsia="Times New Roman" w:hAnsiTheme="minorHAnsi" w:cstheme="minorHAnsi"/>
        </w:rPr>
        <w:t>% planned works completed to timetable</w:t>
      </w:r>
    </w:p>
    <w:p w14:paraId="10839B82" w14:textId="12B495C3" w:rsidR="00AC6F27" w:rsidRDefault="00AC6F27" w:rsidP="00C1048E">
      <w:pPr>
        <w:pStyle w:val="ListParagraph"/>
        <w:numPr>
          <w:ilvl w:val="0"/>
          <w:numId w:val="58"/>
        </w:numPr>
        <w:rPr>
          <w:rFonts w:asciiTheme="minorHAnsi" w:eastAsia="Times New Roman" w:hAnsiTheme="minorHAnsi" w:cstheme="minorHAnsi"/>
        </w:rPr>
      </w:pPr>
      <w:r>
        <w:rPr>
          <w:rFonts w:asciiTheme="minorHAnsi" w:eastAsia="Times New Roman" w:hAnsiTheme="minorHAnsi" w:cstheme="minorHAnsi"/>
        </w:rPr>
        <w:t>% trips by mode of transport</w:t>
      </w:r>
    </w:p>
    <w:p w14:paraId="25C85D6B" w14:textId="41B5EA81" w:rsidR="00AC6F27" w:rsidRDefault="00AC6F27" w:rsidP="00C1048E">
      <w:pPr>
        <w:pStyle w:val="ListParagraph"/>
        <w:numPr>
          <w:ilvl w:val="0"/>
          <w:numId w:val="58"/>
        </w:numPr>
        <w:rPr>
          <w:rFonts w:asciiTheme="minorHAnsi" w:eastAsia="Times New Roman" w:hAnsiTheme="minorHAnsi" w:cstheme="minorHAnsi"/>
        </w:rPr>
      </w:pPr>
      <w:r>
        <w:rPr>
          <w:rFonts w:asciiTheme="minorHAnsi" w:eastAsia="Times New Roman" w:hAnsiTheme="minorHAnsi" w:cstheme="minorHAnsi"/>
        </w:rPr>
        <w:t>Road traffic accident casualties KSI / total casualties by mode of transport</w:t>
      </w:r>
    </w:p>
    <w:p w14:paraId="4FB53835" w14:textId="77777777" w:rsidR="00490D97" w:rsidRPr="00490D97" w:rsidRDefault="00490D97" w:rsidP="00490D97">
      <w:pPr>
        <w:pStyle w:val="ListParagraph"/>
        <w:rPr>
          <w:rFonts w:asciiTheme="minorHAnsi" w:eastAsia="Times New Roman" w:hAnsiTheme="minorHAnsi" w:cstheme="minorHAnsi"/>
        </w:rPr>
      </w:pPr>
    </w:p>
    <w:p w14:paraId="463ABC06" w14:textId="7F40857A" w:rsidR="00E30AEF" w:rsidRPr="00C1048E" w:rsidRDefault="00E30AEF" w:rsidP="00940844">
      <w:pPr>
        <w:rPr>
          <w:rFonts w:asciiTheme="minorHAnsi" w:eastAsia="Times New Roman" w:hAnsiTheme="minorHAnsi" w:cstheme="minorHAnsi"/>
          <w:u w:val="single"/>
        </w:rPr>
      </w:pPr>
      <w:r w:rsidRPr="00C1048E">
        <w:rPr>
          <w:rFonts w:asciiTheme="minorHAnsi" w:eastAsia="Times New Roman" w:hAnsiTheme="minorHAnsi" w:cstheme="minorHAnsi"/>
          <w:u w:val="single"/>
        </w:rPr>
        <w:t>Streetlighting</w:t>
      </w:r>
    </w:p>
    <w:p w14:paraId="62DA8F98" w14:textId="21BD3572" w:rsidR="00C1048E" w:rsidRDefault="00C1048E" w:rsidP="00C1048E">
      <w:pPr>
        <w:pStyle w:val="ListParagraph"/>
        <w:numPr>
          <w:ilvl w:val="0"/>
          <w:numId w:val="59"/>
        </w:numPr>
        <w:rPr>
          <w:rFonts w:asciiTheme="minorHAnsi" w:eastAsia="Times New Roman" w:hAnsiTheme="minorHAnsi" w:cstheme="minorHAnsi"/>
        </w:rPr>
      </w:pPr>
      <w:r>
        <w:rPr>
          <w:rFonts w:asciiTheme="minorHAnsi" w:eastAsia="Times New Roman" w:hAnsiTheme="minorHAnsi" w:cstheme="minorHAnsi"/>
        </w:rPr>
        <w:t>Ave days taken to repair notified faults</w:t>
      </w:r>
    </w:p>
    <w:p w14:paraId="5C436D19" w14:textId="1B3D6C09" w:rsidR="00C1048E" w:rsidRDefault="00C1048E" w:rsidP="00C1048E">
      <w:pPr>
        <w:pStyle w:val="ListParagraph"/>
        <w:numPr>
          <w:ilvl w:val="0"/>
          <w:numId w:val="59"/>
        </w:numPr>
        <w:rPr>
          <w:rFonts w:asciiTheme="minorHAnsi" w:eastAsia="Times New Roman" w:hAnsiTheme="minorHAnsi" w:cstheme="minorHAnsi"/>
        </w:rPr>
      </w:pPr>
      <w:r>
        <w:rPr>
          <w:rFonts w:asciiTheme="minorHAnsi" w:eastAsia="Times New Roman" w:hAnsiTheme="minorHAnsi" w:cstheme="minorHAnsi"/>
        </w:rPr>
        <w:t xml:space="preserve">% lights in light </w:t>
      </w:r>
    </w:p>
    <w:p w14:paraId="72B81653" w14:textId="77777777" w:rsidR="00C1048E" w:rsidRPr="00C1048E" w:rsidRDefault="00C1048E" w:rsidP="00C1048E">
      <w:pPr>
        <w:pStyle w:val="ListParagraph"/>
        <w:rPr>
          <w:rFonts w:asciiTheme="minorHAnsi" w:eastAsia="Times New Roman" w:hAnsiTheme="minorHAnsi" w:cstheme="minorHAnsi"/>
        </w:rPr>
      </w:pPr>
    </w:p>
    <w:p w14:paraId="3202B3F6" w14:textId="2D20A297" w:rsidR="00E30AEF" w:rsidRPr="00AC6F27" w:rsidRDefault="00E30AEF" w:rsidP="00940844">
      <w:pPr>
        <w:rPr>
          <w:rFonts w:asciiTheme="minorHAnsi" w:eastAsia="Times New Roman" w:hAnsiTheme="minorHAnsi" w:cstheme="minorHAnsi"/>
          <w:u w:val="single"/>
        </w:rPr>
      </w:pPr>
      <w:r w:rsidRPr="00AC6F27">
        <w:rPr>
          <w:rFonts w:asciiTheme="minorHAnsi" w:eastAsia="Times New Roman" w:hAnsiTheme="minorHAnsi" w:cstheme="minorHAnsi"/>
          <w:u w:val="single"/>
        </w:rPr>
        <w:t>Borough-wide energy and carbon</w:t>
      </w:r>
    </w:p>
    <w:p w14:paraId="6A4BF69B" w14:textId="7E8BB690" w:rsidR="00E30AEF" w:rsidRDefault="00C1048E" w:rsidP="00C1048E">
      <w:pPr>
        <w:pStyle w:val="ListParagraph"/>
        <w:numPr>
          <w:ilvl w:val="0"/>
          <w:numId w:val="60"/>
        </w:numPr>
        <w:rPr>
          <w:rFonts w:asciiTheme="minorHAnsi" w:eastAsia="Times New Roman" w:hAnsiTheme="minorHAnsi" w:cstheme="minorHAnsi"/>
        </w:rPr>
      </w:pPr>
      <w:r>
        <w:rPr>
          <w:rFonts w:asciiTheme="minorHAnsi" w:eastAsia="Times New Roman" w:hAnsiTheme="minorHAnsi" w:cstheme="minorHAnsi"/>
        </w:rPr>
        <w:t>Borough carbon emissions</w:t>
      </w:r>
    </w:p>
    <w:p w14:paraId="2994F75E" w14:textId="77777777" w:rsidR="00C1048E" w:rsidRDefault="00C1048E" w:rsidP="00C1048E">
      <w:pPr>
        <w:pStyle w:val="ListParagraph"/>
        <w:numPr>
          <w:ilvl w:val="0"/>
          <w:numId w:val="60"/>
        </w:numPr>
        <w:rPr>
          <w:rFonts w:asciiTheme="minorHAnsi" w:eastAsia="Times New Roman" w:hAnsiTheme="minorHAnsi" w:cstheme="minorHAnsi"/>
        </w:rPr>
      </w:pPr>
      <w:r>
        <w:rPr>
          <w:rFonts w:asciiTheme="minorHAnsi" w:eastAsia="Times New Roman" w:hAnsiTheme="minorHAnsi" w:cstheme="minorHAnsi"/>
        </w:rPr>
        <w:t>Households in fuel poverty in borough</w:t>
      </w:r>
    </w:p>
    <w:p w14:paraId="4B28FD56" w14:textId="5B568E22" w:rsidR="00C1048E" w:rsidRPr="00C1048E" w:rsidRDefault="00C1048E" w:rsidP="00C1048E">
      <w:pPr>
        <w:pStyle w:val="ListParagraph"/>
        <w:numPr>
          <w:ilvl w:val="0"/>
          <w:numId w:val="60"/>
        </w:numPr>
        <w:rPr>
          <w:rFonts w:asciiTheme="minorHAnsi" w:eastAsia="Times New Roman" w:hAnsiTheme="minorHAnsi" w:cstheme="minorHAnsi"/>
        </w:rPr>
      </w:pPr>
      <w:r>
        <w:rPr>
          <w:rFonts w:asciiTheme="minorHAnsi" w:eastAsia="Times New Roman" w:hAnsiTheme="minorHAnsi" w:cstheme="minorHAnsi"/>
        </w:rPr>
        <w:t xml:space="preserve">Number of domestic properties within flood risk areas </w:t>
      </w:r>
    </w:p>
    <w:p w14:paraId="7A4CBC78" w14:textId="1E8335DC" w:rsidR="00DF5976" w:rsidRPr="00160C74" w:rsidRDefault="005F311C" w:rsidP="00DF5976">
      <w:pPr>
        <w:rPr>
          <w:rFonts w:asciiTheme="minorHAnsi" w:hAnsiTheme="minorHAnsi" w:cstheme="minorHAnsi"/>
          <w:b/>
          <w:sz w:val="24"/>
          <w:szCs w:val="24"/>
        </w:rPr>
      </w:pPr>
      <w:r w:rsidRPr="00160C74">
        <w:rPr>
          <w:rFonts w:asciiTheme="minorHAnsi" w:hAnsiTheme="minorHAnsi" w:cstheme="minorHAnsi"/>
          <w:b/>
          <w:sz w:val="24"/>
          <w:szCs w:val="24"/>
        </w:rPr>
        <w:lastRenderedPageBreak/>
        <w:t>4</w:t>
      </w:r>
      <w:r w:rsidR="00DF5976" w:rsidRPr="00160C74">
        <w:rPr>
          <w:rFonts w:asciiTheme="minorHAnsi" w:hAnsiTheme="minorHAnsi" w:cstheme="minorHAnsi"/>
          <w:b/>
          <w:sz w:val="24"/>
          <w:szCs w:val="24"/>
        </w:rPr>
        <w:t>.</w:t>
      </w:r>
      <w:r w:rsidR="00963A6B" w:rsidRPr="00160C74">
        <w:rPr>
          <w:rFonts w:asciiTheme="minorHAnsi" w:hAnsiTheme="minorHAnsi" w:cstheme="minorHAnsi"/>
          <w:b/>
          <w:sz w:val="24"/>
          <w:szCs w:val="24"/>
        </w:rPr>
        <w:t>3</w:t>
      </w:r>
      <w:r w:rsidR="00DF5976" w:rsidRPr="00160C74">
        <w:rPr>
          <w:rFonts w:asciiTheme="minorHAnsi" w:hAnsiTheme="minorHAnsi" w:cstheme="minorHAnsi"/>
          <w:b/>
          <w:sz w:val="24"/>
          <w:szCs w:val="24"/>
        </w:rPr>
        <w:tab/>
        <w:t>Risks</w:t>
      </w:r>
    </w:p>
    <w:p w14:paraId="15C81225" w14:textId="77777777" w:rsidR="00940844" w:rsidRDefault="00940844" w:rsidP="00940844">
      <w:pPr>
        <w:rPr>
          <w:rFonts w:asciiTheme="minorHAnsi" w:eastAsia="Times New Roman" w:hAnsiTheme="minorHAnsi" w:cstheme="minorHAnsi"/>
        </w:rPr>
      </w:pPr>
    </w:p>
    <w:p w14:paraId="04041F4E" w14:textId="3239710C" w:rsidR="00D60CF2" w:rsidRDefault="00D60CF2" w:rsidP="00940844">
      <w:pPr>
        <w:rPr>
          <w:rFonts w:asciiTheme="minorHAnsi" w:eastAsia="Times New Roman" w:hAnsiTheme="minorHAnsi" w:cstheme="minorHAnsi"/>
        </w:rPr>
      </w:pPr>
      <w:r>
        <w:rPr>
          <w:rFonts w:asciiTheme="minorHAnsi" w:eastAsia="Times New Roman" w:hAnsiTheme="minorHAnsi" w:cstheme="minorHAnsi"/>
        </w:rPr>
        <w:t>The key identified risks in relation to the Coun</w:t>
      </w:r>
      <w:r w:rsidR="00BF3432">
        <w:rPr>
          <w:rFonts w:asciiTheme="minorHAnsi" w:eastAsia="Times New Roman" w:hAnsiTheme="minorHAnsi" w:cstheme="minorHAnsi"/>
        </w:rPr>
        <w:t>c</w:t>
      </w:r>
      <w:r>
        <w:rPr>
          <w:rFonts w:asciiTheme="minorHAnsi" w:eastAsia="Times New Roman" w:hAnsiTheme="minorHAnsi" w:cstheme="minorHAnsi"/>
        </w:rPr>
        <w:t>il’s asset portfolio and asset function are:</w:t>
      </w:r>
    </w:p>
    <w:p w14:paraId="4D5F4162" w14:textId="309770EC" w:rsidR="00D60CF2"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rPr>
        <w:t>F</w:t>
      </w:r>
      <w:r w:rsidR="00D60CF2" w:rsidRPr="00D60CF2">
        <w:rPr>
          <w:rFonts w:asciiTheme="minorHAnsi" w:eastAsia="Times New Roman" w:hAnsiTheme="minorHAnsi" w:cstheme="minorHAnsi"/>
        </w:rPr>
        <w:t>ailure to comply with legislative / statutory obligations resulting in</w:t>
      </w:r>
      <w:r w:rsidR="00D60CF2">
        <w:rPr>
          <w:rFonts w:asciiTheme="minorHAnsi" w:eastAsia="Times New Roman" w:hAnsiTheme="minorHAnsi" w:cstheme="minorHAnsi"/>
        </w:rPr>
        <w:t>:</w:t>
      </w:r>
      <w:r w:rsidR="00D60CF2" w:rsidRPr="00D60CF2">
        <w:rPr>
          <w:rFonts w:asciiTheme="minorHAnsi" w:eastAsia="Times New Roman" w:hAnsiTheme="minorHAnsi" w:cstheme="minorHAnsi"/>
        </w:rPr>
        <w:t xml:space="preserve"> </w:t>
      </w:r>
      <w:r w:rsidR="00D60CF2">
        <w:rPr>
          <w:rFonts w:asciiTheme="minorHAnsi" w:eastAsia="Times New Roman" w:hAnsiTheme="minorHAnsi" w:cstheme="minorHAnsi"/>
        </w:rPr>
        <w:t xml:space="preserve">risk of death or injury to staff or public; criminal prosecution; civil litigation; reputational damage; or damage to property or equipment </w:t>
      </w:r>
    </w:p>
    <w:p w14:paraId="19B41175" w14:textId="6C54C8C4" w:rsidR="00D60CF2" w:rsidRDefault="00D60CF2"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rPr>
        <w:t>Corporate assets no longer fit for purpose due to location or suitability for service delivery resulting in: service delivery impact, increased costs, loss of income</w:t>
      </w:r>
    </w:p>
    <w:p w14:paraId="359EA7A4" w14:textId="499C8010" w:rsidR="007033EC"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rPr>
        <w:t>Loss of a strategic asset or premises through failure to maintain it in a safe and effective condition resulting in: prosecution by the HSE with cost and time im</w:t>
      </w:r>
      <w:r w:rsidR="00BF3432">
        <w:rPr>
          <w:rFonts w:asciiTheme="minorHAnsi" w:eastAsia="Times New Roman" w:hAnsiTheme="minorHAnsi" w:cstheme="minorHAnsi"/>
        </w:rPr>
        <w:t>p</w:t>
      </w:r>
      <w:r>
        <w:rPr>
          <w:rFonts w:asciiTheme="minorHAnsi" w:eastAsia="Times New Roman" w:hAnsiTheme="minorHAnsi" w:cstheme="minorHAnsi"/>
        </w:rPr>
        <w:t xml:space="preserve">lications; front line service failure; major reputational </w:t>
      </w:r>
      <w:r w:rsidR="00BF3432">
        <w:rPr>
          <w:rFonts w:asciiTheme="minorHAnsi" w:eastAsia="Times New Roman" w:hAnsiTheme="minorHAnsi" w:cstheme="minorHAnsi"/>
        </w:rPr>
        <w:t>damage</w:t>
      </w:r>
      <w:r>
        <w:rPr>
          <w:rFonts w:asciiTheme="minorHAnsi" w:eastAsia="Times New Roman" w:hAnsiTheme="minorHAnsi" w:cstheme="minorHAnsi"/>
        </w:rPr>
        <w:t xml:space="preserve"> to the Council</w:t>
      </w:r>
    </w:p>
    <w:p w14:paraId="5196EADA" w14:textId="0A56007D" w:rsidR="007033EC"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rPr>
        <w:t>Failure to achieve project</w:t>
      </w:r>
      <w:r w:rsidR="00BF3432">
        <w:rPr>
          <w:rFonts w:asciiTheme="minorHAnsi" w:eastAsia="Times New Roman" w:hAnsiTheme="minorHAnsi" w:cstheme="minorHAnsi"/>
        </w:rPr>
        <w:t>ed</w:t>
      </w:r>
      <w:r>
        <w:rPr>
          <w:rFonts w:asciiTheme="minorHAnsi" w:eastAsia="Times New Roman" w:hAnsiTheme="minorHAnsi" w:cstheme="minorHAnsi"/>
        </w:rPr>
        <w:t xml:space="preserve"> net new financial position for the Council under the Lewisham Future Board savings resulting in: impact on future year’s budgets and savings targets, </w:t>
      </w:r>
      <w:r w:rsidR="00BF3432">
        <w:rPr>
          <w:rFonts w:asciiTheme="minorHAnsi" w:eastAsia="Times New Roman" w:hAnsiTheme="minorHAnsi" w:cstheme="minorHAnsi"/>
        </w:rPr>
        <w:t>impact on ability to maintain asset function effectively</w:t>
      </w:r>
    </w:p>
    <w:p w14:paraId="2950F352" w14:textId="4A340184" w:rsidR="007033EC"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rPr>
        <w:t xml:space="preserve">Failure to have service specific strategies </w:t>
      </w:r>
      <w:r w:rsidR="00BF3432">
        <w:rPr>
          <w:rFonts w:asciiTheme="minorHAnsi" w:eastAsia="Times New Roman" w:hAnsiTheme="minorHAnsi" w:cstheme="minorHAnsi"/>
        </w:rPr>
        <w:t>aligned with asset strategy</w:t>
      </w:r>
      <w:r>
        <w:rPr>
          <w:rFonts w:asciiTheme="minorHAnsi" w:eastAsia="Times New Roman" w:hAnsiTheme="minorHAnsi" w:cstheme="minorHAnsi"/>
        </w:rPr>
        <w:t xml:space="preserve"> resulting in: inadequate or insufficient use of accommodation; lack of integration with disposal or investment programmes; loss of forecast savings and new income</w:t>
      </w:r>
    </w:p>
    <w:p w14:paraId="5DDA083E" w14:textId="059527B0" w:rsidR="00D60CF2" w:rsidRDefault="007033EC" w:rsidP="00C1048E">
      <w:pPr>
        <w:pStyle w:val="ListParagraph"/>
        <w:numPr>
          <w:ilvl w:val="0"/>
          <w:numId w:val="40"/>
        </w:numPr>
        <w:ind w:left="426" w:hanging="426"/>
        <w:rPr>
          <w:rFonts w:asciiTheme="minorHAnsi" w:eastAsia="Times New Roman" w:hAnsiTheme="minorHAnsi" w:cstheme="minorHAnsi"/>
        </w:rPr>
      </w:pPr>
      <w:r w:rsidRPr="007033EC">
        <w:rPr>
          <w:rFonts w:asciiTheme="minorHAnsi" w:eastAsia="Times New Roman" w:hAnsiTheme="minorHAnsi" w:cstheme="minorHAnsi"/>
          <w:lang w:eastAsia="en-GB"/>
        </w:rPr>
        <w:t>Failure of disaster recovery and / or business continuity plans in the event of a serious incident</w:t>
      </w:r>
      <w:r>
        <w:rPr>
          <w:rFonts w:asciiTheme="minorHAnsi" w:eastAsia="Times New Roman" w:hAnsiTheme="minorHAnsi" w:cstheme="minorHAnsi"/>
          <w:lang w:eastAsia="en-GB"/>
        </w:rPr>
        <w:t xml:space="preserve"> resulting in: criminal charges; loss of communication / ICT; loss </w:t>
      </w:r>
      <w:r w:rsidR="00BF3432">
        <w:rPr>
          <w:rFonts w:asciiTheme="minorHAnsi" w:eastAsia="Times New Roman" w:hAnsiTheme="minorHAnsi" w:cstheme="minorHAnsi"/>
          <w:lang w:eastAsia="en-GB"/>
        </w:rPr>
        <w:t>of essential service provision</w:t>
      </w:r>
    </w:p>
    <w:p w14:paraId="6C7829A9" w14:textId="3C8FA673" w:rsidR="007033EC"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lang w:eastAsia="en-GB"/>
        </w:rPr>
        <w:t xml:space="preserve">Loss of capacity during or </w:t>
      </w:r>
      <w:r w:rsidR="00BF3432">
        <w:rPr>
          <w:rFonts w:asciiTheme="minorHAnsi" w:eastAsia="Times New Roman" w:hAnsiTheme="minorHAnsi" w:cstheme="minorHAnsi"/>
          <w:lang w:eastAsia="en-GB"/>
        </w:rPr>
        <w:t xml:space="preserve">following </w:t>
      </w:r>
      <w:r>
        <w:rPr>
          <w:rFonts w:asciiTheme="minorHAnsi" w:eastAsia="Times New Roman" w:hAnsiTheme="minorHAnsi" w:cstheme="minorHAnsi"/>
          <w:lang w:eastAsia="en-GB"/>
        </w:rPr>
        <w:t>reorganisation process resulting in: failure to achieve statutory compliance; loss of income and or increased costs; loss of quality of service outcomes</w:t>
      </w:r>
    </w:p>
    <w:p w14:paraId="3B504EE7" w14:textId="3DD7F870" w:rsidR="007033EC"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lang w:eastAsia="en-GB"/>
        </w:rPr>
        <w:t>Failure to adequately manage revenue or capital budgets and to manage income or expenditure resulting in: increased exposure to financial risk; inability to meet budgets or savings targets; reputational damage</w:t>
      </w:r>
    </w:p>
    <w:p w14:paraId="5AE27CBB" w14:textId="2C24A52D" w:rsidR="007033EC" w:rsidRPr="007033EC" w:rsidRDefault="007033EC" w:rsidP="00C1048E">
      <w:pPr>
        <w:pStyle w:val="ListParagraph"/>
        <w:numPr>
          <w:ilvl w:val="0"/>
          <w:numId w:val="40"/>
        </w:numPr>
        <w:ind w:left="426" w:hanging="426"/>
        <w:rPr>
          <w:rFonts w:asciiTheme="minorHAnsi" w:eastAsia="Times New Roman" w:hAnsiTheme="minorHAnsi" w:cstheme="minorHAnsi"/>
        </w:rPr>
      </w:pPr>
      <w:r>
        <w:rPr>
          <w:rFonts w:asciiTheme="minorHAnsi" w:eastAsia="Times New Roman" w:hAnsiTheme="minorHAnsi" w:cstheme="minorHAnsi"/>
          <w:lang w:eastAsia="en-GB"/>
        </w:rPr>
        <w:t>Lack of accurate and robust data resulting in poor decision-making, lack of transparency in use of assets; lack of compliance with statutory requirements; reputational damage; increased exposure to financial risk</w:t>
      </w:r>
      <w:r>
        <w:t xml:space="preserve"> </w:t>
      </w:r>
    </w:p>
    <w:p w14:paraId="3D0EE31C" w14:textId="77777777" w:rsidR="004E791A" w:rsidRDefault="004E791A" w:rsidP="00940844">
      <w:pPr>
        <w:rPr>
          <w:rFonts w:asciiTheme="minorHAnsi" w:eastAsia="Times New Roman" w:hAnsiTheme="minorHAnsi" w:cstheme="minorHAnsi"/>
          <w:highlight w:val="yellow"/>
        </w:rPr>
      </w:pPr>
    </w:p>
    <w:p w14:paraId="7094B374" w14:textId="7CD13C54" w:rsidR="00B529AE" w:rsidRDefault="007033EC" w:rsidP="00B529AE">
      <w:pPr>
        <w:rPr>
          <w:rFonts w:asciiTheme="minorHAnsi" w:eastAsia="Times New Roman" w:hAnsiTheme="minorHAnsi" w:cstheme="minorHAnsi"/>
        </w:rPr>
      </w:pPr>
      <w:r>
        <w:rPr>
          <w:rFonts w:asciiTheme="minorHAnsi" w:eastAsia="Times New Roman" w:hAnsiTheme="minorHAnsi" w:cstheme="minorHAnsi"/>
        </w:rPr>
        <w:t>The measures being undertaken to respond to these risks are set out within the body of this Plan.  The key projects that address the risks are:</w:t>
      </w:r>
    </w:p>
    <w:p w14:paraId="469CD013" w14:textId="77777777" w:rsidR="00FC54B1" w:rsidRDefault="00FC54B1" w:rsidP="00C1048E">
      <w:pPr>
        <w:pStyle w:val="ListParagraph"/>
        <w:numPr>
          <w:ilvl w:val="0"/>
          <w:numId w:val="41"/>
        </w:numPr>
        <w:ind w:left="426" w:hanging="426"/>
        <w:rPr>
          <w:rFonts w:asciiTheme="minorHAnsi" w:eastAsia="Times New Roman" w:hAnsiTheme="minorHAnsi" w:cstheme="minorHAnsi"/>
        </w:rPr>
      </w:pPr>
      <w:r>
        <w:rPr>
          <w:rFonts w:asciiTheme="minorHAnsi" w:eastAsia="Times New Roman" w:hAnsiTheme="minorHAnsi" w:cstheme="minorHAnsi"/>
        </w:rPr>
        <w:t xml:space="preserve">Ensuring robust data capture, storage and analysis through the new Asset Management System and associated systems (3.2.1) </w:t>
      </w:r>
    </w:p>
    <w:p w14:paraId="60497318" w14:textId="08E732A3" w:rsidR="007033EC" w:rsidRDefault="00FC54B1" w:rsidP="00C1048E">
      <w:pPr>
        <w:pStyle w:val="ListParagraph"/>
        <w:numPr>
          <w:ilvl w:val="0"/>
          <w:numId w:val="41"/>
        </w:numPr>
        <w:ind w:left="426" w:hanging="426"/>
        <w:rPr>
          <w:rFonts w:asciiTheme="minorHAnsi" w:eastAsia="Times New Roman" w:hAnsiTheme="minorHAnsi" w:cstheme="minorHAnsi"/>
        </w:rPr>
      </w:pPr>
      <w:r>
        <w:rPr>
          <w:rFonts w:asciiTheme="minorHAnsi" w:eastAsia="Times New Roman" w:hAnsiTheme="minorHAnsi" w:cstheme="minorHAnsi"/>
        </w:rPr>
        <w:t xml:space="preserve"> </w:t>
      </w:r>
      <w:r w:rsidR="00D91DA0">
        <w:rPr>
          <w:rFonts w:asciiTheme="minorHAnsi" w:eastAsia="Times New Roman" w:hAnsiTheme="minorHAnsi" w:cstheme="minorHAnsi"/>
        </w:rPr>
        <w:t xml:space="preserve">Ensuring effective capacity for the asset management function through the </w:t>
      </w:r>
      <w:r w:rsidR="00BF3432">
        <w:rPr>
          <w:rFonts w:asciiTheme="minorHAnsi" w:eastAsia="Times New Roman" w:hAnsiTheme="minorHAnsi" w:cstheme="minorHAnsi"/>
        </w:rPr>
        <w:t>reorganisation</w:t>
      </w:r>
      <w:r w:rsidR="00D91DA0">
        <w:rPr>
          <w:rFonts w:asciiTheme="minorHAnsi" w:eastAsia="Times New Roman" w:hAnsiTheme="minorHAnsi" w:cstheme="minorHAnsi"/>
        </w:rPr>
        <w:t xml:space="preserve"> and clearance of backlogs</w:t>
      </w:r>
      <w:r>
        <w:rPr>
          <w:rFonts w:asciiTheme="minorHAnsi" w:eastAsia="Times New Roman" w:hAnsiTheme="minorHAnsi" w:cstheme="minorHAnsi"/>
        </w:rPr>
        <w:t xml:space="preserve"> (</w:t>
      </w:r>
      <w:r w:rsidR="00D91DA0">
        <w:rPr>
          <w:rFonts w:asciiTheme="minorHAnsi" w:eastAsia="Times New Roman" w:hAnsiTheme="minorHAnsi" w:cstheme="minorHAnsi"/>
        </w:rPr>
        <w:t>3.2.</w:t>
      </w:r>
      <w:r>
        <w:rPr>
          <w:rFonts w:asciiTheme="minorHAnsi" w:eastAsia="Times New Roman" w:hAnsiTheme="minorHAnsi" w:cstheme="minorHAnsi"/>
        </w:rPr>
        <w:t>2)</w:t>
      </w:r>
    </w:p>
    <w:p w14:paraId="55DE41E1" w14:textId="66A75D8E" w:rsidR="00D91DA0" w:rsidRPr="00D91DA0" w:rsidRDefault="00D91DA0" w:rsidP="00C1048E">
      <w:pPr>
        <w:pStyle w:val="ListParagraph"/>
        <w:numPr>
          <w:ilvl w:val="0"/>
          <w:numId w:val="41"/>
        </w:numPr>
        <w:ind w:left="426" w:hanging="426"/>
        <w:rPr>
          <w:rFonts w:asciiTheme="minorHAnsi" w:eastAsia="Times New Roman" w:hAnsiTheme="minorHAnsi" w:cstheme="minorHAnsi"/>
        </w:rPr>
      </w:pPr>
      <w:r>
        <w:rPr>
          <w:rFonts w:asciiTheme="minorHAnsi" w:eastAsia="Times New Roman" w:hAnsiTheme="minorHAnsi" w:cstheme="minorHAnsi"/>
        </w:rPr>
        <w:t>Effective management of the estate,  through effective budget management, categorisation of assets</w:t>
      </w:r>
      <w:r>
        <w:t>, decision-making, and investment opportunities</w:t>
      </w:r>
      <w:r w:rsidR="00FC54B1">
        <w:t xml:space="preserve"> (3.2.3)</w:t>
      </w:r>
    </w:p>
    <w:p w14:paraId="34E1EF6F" w14:textId="11F5F99F" w:rsidR="00D91DA0" w:rsidRPr="00D91DA0" w:rsidRDefault="00D91DA0" w:rsidP="00C1048E">
      <w:pPr>
        <w:pStyle w:val="ListParagraph"/>
        <w:numPr>
          <w:ilvl w:val="0"/>
          <w:numId w:val="41"/>
        </w:numPr>
        <w:ind w:left="426" w:hanging="426"/>
        <w:rPr>
          <w:rFonts w:asciiTheme="minorHAnsi" w:eastAsia="Times New Roman" w:hAnsiTheme="minorHAnsi" w:cstheme="minorHAnsi"/>
        </w:rPr>
      </w:pPr>
      <w:r>
        <w:t>Effective governance and partnerships with others</w:t>
      </w:r>
      <w:r w:rsidR="00FC54B1">
        <w:t xml:space="preserve"> (</w:t>
      </w:r>
      <w:r>
        <w:t>3.2.4</w:t>
      </w:r>
      <w:r w:rsidR="00FC54B1">
        <w:t>)</w:t>
      </w:r>
    </w:p>
    <w:p w14:paraId="184BF4DC" w14:textId="556211A1" w:rsidR="00D91DA0" w:rsidRPr="00D91DA0" w:rsidRDefault="00FC54B1" w:rsidP="00C1048E">
      <w:pPr>
        <w:pStyle w:val="ListParagraph"/>
        <w:numPr>
          <w:ilvl w:val="0"/>
          <w:numId w:val="41"/>
        </w:numPr>
        <w:ind w:left="426" w:hanging="426"/>
        <w:rPr>
          <w:rFonts w:asciiTheme="minorHAnsi" w:eastAsia="Times New Roman" w:hAnsiTheme="minorHAnsi" w:cstheme="minorHAnsi"/>
        </w:rPr>
      </w:pPr>
      <w:r>
        <w:t>Reducing exposure to cost and driving quality in the operational estate (</w:t>
      </w:r>
      <w:r w:rsidR="00D91DA0">
        <w:t>3.3.1</w:t>
      </w:r>
      <w:r>
        <w:t>)</w:t>
      </w:r>
    </w:p>
    <w:p w14:paraId="00F9DF95" w14:textId="1129A0DA" w:rsidR="00D91DA0" w:rsidRPr="00D91DA0" w:rsidRDefault="00D91DA0" w:rsidP="00C1048E">
      <w:pPr>
        <w:pStyle w:val="ListParagraph"/>
        <w:numPr>
          <w:ilvl w:val="0"/>
          <w:numId w:val="41"/>
        </w:numPr>
        <w:ind w:left="426" w:hanging="426"/>
        <w:rPr>
          <w:rFonts w:asciiTheme="minorHAnsi" w:eastAsia="Times New Roman" w:hAnsiTheme="minorHAnsi" w:cstheme="minorHAnsi"/>
        </w:rPr>
      </w:pPr>
      <w:r>
        <w:t xml:space="preserve">Effective facilities management and reprocurement of the FM function </w:t>
      </w:r>
      <w:r w:rsidR="00FC54B1">
        <w:t>(</w:t>
      </w:r>
      <w:r>
        <w:t>3.3.2</w:t>
      </w:r>
      <w:r w:rsidR="00FC54B1">
        <w:t>)</w:t>
      </w:r>
    </w:p>
    <w:p w14:paraId="7484536E" w14:textId="6BAC6B0D" w:rsidR="00D91DA0" w:rsidRPr="00D91DA0" w:rsidRDefault="00D91DA0" w:rsidP="00C1048E">
      <w:pPr>
        <w:pStyle w:val="ListParagraph"/>
        <w:numPr>
          <w:ilvl w:val="0"/>
          <w:numId w:val="41"/>
        </w:numPr>
        <w:ind w:left="426" w:hanging="426"/>
        <w:rPr>
          <w:rFonts w:asciiTheme="minorHAnsi" w:eastAsia="Times New Roman" w:hAnsiTheme="minorHAnsi" w:cstheme="minorHAnsi"/>
        </w:rPr>
      </w:pPr>
      <w:r>
        <w:t>Understanding and reducing our use of resources</w:t>
      </w:r>
      <w:r w:rsidR="00FC54B1">
        <w:t xml:space="preserve"> (</w:t>
      </w:r>
      <w:r>
        <w:t>3.3.3</w:t>
      </w:r>
      <w:r w:rsidR="00FC54B1">
        <w:t>)</w:t>
      </w:r>
    </w:p>
    <w:p w14:paraId="559A42E3" w14:textId="7DF331F5" w:rsidR="00FC54B1" w:rsidRPr="007033EC" w:rsidRDefault="00FC54B1" w:rsidP="00C1048E">
      <w:pPr>
        <w:pStyle w:val="ListParagraph"/>
        <w:numPr>
          <w:ilvl w:val="0"/>
          <w:numId w:val="41"/>
        </w:numPr>
        <w:ind w:left="426" w:hanging="426"/>
        <w:rPr>
          <w:rFonts w:asciiTheme="minorHAnsi" w:eastAsia="Times New Roman" w:hAnsiTheme="minorHAnsi" w:cstheme="minorHAnsi"/>
        </w:rPr>
      </w:pPr>
      <w:r>
        <w:t>Effective understanding, resourcing and management of compliance and risk (3.4)</w:t>
      </w:r>
    </w:p>
    <w:p w14:paraId="5B36A58C" w14:textId="50257DE6" w:rsidR="00D91DA0" w:rsidRPr="00D91DA0" w:rsidRDefault="00D91DA0" w:rsidP="00C1048E">
      <w:pPr>
        <w:pStyle w:val="ListParagraph"/>
        <w:numPr>
          <w:ilvl w:val="0"/>
          <w:numId w:val="41"/>
        </w:numPr>
        <w:ind w:left="426" w:hanging="426"/>
        <w:rPr>
          <w:rFonts w:asciiTheme="minorHAnsi" w:eastAsia="Times New Roman" w:hAnsiTheme="minorHAnsi" w:cstheme="minorHAnsi"/>
        </w:rPr>
      </w:pPr>
      <w:r>
        <w:t>Development of underutilised commercial assets</w:t>
      </w:r>
      <w:r w:rsidR="00FC54B1">
        <w:t xml:space="preserve"> (</w:t>
      </w:r>
      <w:r>
        <w:t>3.</w:t>
      </w:r>
      <w:r w:rsidR="00FC54B1">
        <w:t>5</w:t>
      </w:r>
      <w:r>
        <w:t>.1</w:t>
      </w:r>
      <w:r w:rsidR="00FC54B1">
        <w:t>)</w:t>
      </w:r>
    </w:p>
    <w:p w14:paraId="45DB9AC0" w14:textId="56A49CBE" w:rsidR="00D91DA0" w:rsidRPr="00D91DA0" w:rsidRDefault="00D91DA0" w:rsidP="00C1048E">
      <w:pPr>
        <w:pStyle w:val="ListParagraph"/>
        <w:numPr>
          <w:ilvl w:val="0"/>
          <w:numId w:val="41"/>
        </w:numPr>
        <w:ind w:left="426" w:hanging="426"/>
        <w:rPr>
          <w:rFonts w:asciiTheme="minorHAnsi" w:eastAsia="Times New Roman" w:hAnsiTheme="minorHAnsi" w:cstheme="minorHAnsi"/>
        </w:rPr>
      </w:pPr>
      <w:r>
        <w:t>Increased income through an optimised commercial estate</w:t>
      </w:r>
      <w:r w:rsidR="00FC54B1">
        <w:t xml:space="preserve"> (</w:t>
      </w:r>
      <w:r>
        <w:t>3.</w:t>
      </w:r>
      <w:r w:rsidR="00FC54B1">
        <w:t>5</w:t>
      </w:r>
      <w:r>
        <w:t>.2</w:t>
      </w:r>
      <w:r w:rsidR="00FC54B1">
        <w:t>)</w:t>
      </w:r>
    </w:p>
    <w:p w14:paraId="13B55E7B" w14:textId="77777777" w:rsidR="00B529AE" w:rsidRPr="005B724A" w:rsidRDefault="00B529AE" w:rsidP="00B529AE">
      <w:pPr>
        <w:rPr>
          <w:rFonts w:asciiTheme="minorHAnsi" w:eastAsia="Times New Roman" w:hAnsiTheme="minorHAnsi" w:cstheme="minorHAnsi"/>
        </w:rPr>
      </w:pPr>
    </w:p>
    <w:p w14:paraId="145F4B45" w14:textId="77777777" w:rsidR="00B529AE" w:rsidRDefault="00B529AE">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6CE733CA" w14:textId="4CA295F2" w:rsidR="00DF5976" w:rsidRPr="00160C74" w:rsidRDefault="005F311C" w:rsidP="00B529AE">
      <w:pPr>
        <w:spacing w:after="200" w:line="276" w:lineRule="auto"/>
        <w:rPr>
          <w:rFonts w:asciiTheme="minorHAnsi" w:hAnsiTheme="minorHAnsi" w:cstheme="minorHAnsi"/>
          <w:b/>
          <w:sz w:val="24"/>
          <w:szCs w:val="24"/>
        </w:rPr>
      </w:pPr>
      <w:r w:rsidRPr="00160C74">
        <w:rPr>
          <w:rFonts w:asciiTheme="minorHAnsi" w:hAnsiTheme="minorHAnsi" w:cstheme="minorHAnsi"/>
          <w:b/>
          <w:sz w:val="24"/>
          <w:szCs w:val="24"/>
        </w:rPr>
        <w:lastRenderedPageBreak/>
        <w:t>4</w:t>
      </w:r>
      <w:r w:rsidR="00DF5976" w:rsidRPr="00160C74">
        <w:rPr>
          <w:rFonts w:asciiTheme="minorHAnsi" w:hAnsiTheme="minorHAnsi" w:cstheme="minorHAnsi"/>
          <w:b/>
          <w:sz w:val="24"/>
          <w:szCs w:val="24"/>
        </w:rPr>
        <w:t>.</w:t>
      </w:r>
      <w:r w:rsidR="00963A6B" w:rsidRPr="00160C74">
        <w:rPr>
          <w:rFonts w:asciiTheme="minorHAnsi" w:hAnsiTheme="minorHAnsi" w:cstheme="minorHAnsi"/>
          <w:b/>
          <w:sz w:val="24"/>
          <w:szCs w:val="24"/>
        </w:rPr>
        <w:t>4</w:t>
      </w:r>
      <w:r w:rsidR="00DF5976" w:rsidRPr="00160C74">
        <w:rPr>
          <w:rFonts w:asciiTheme="minorHAnsi" w:hAnsiTheme="minorHAnsi" w:cstheme="minorHAnsi"/>
          <w:b/>
          <w:sz w:val="24"/>
          <w:szCs w:val="24"/>
        </w:rPr>
        <w:tab/>
        <w:t>Timetable</w:t>
      </w:r>
    </w:p>
    <w:p w14:paraId="283D751A" w14:textId="0FE966F7" w:rsidR="00F957D2" w:rsidRDefault="00DF7872" w:rsidP="00940844">
      <w:pPr>
        <w:rPr>
          <w:rFonts w:asciiTheme="minorHAnsi" w:eastAsia="Times New Roman" w:hAnsiTheme="minorHAnsi" w:cstheme="minorHAnsi"/>
        </w:rPr>
      </w:pPr>
      <w:r>
        <w:rPr>
          <w:rFonts w:asciiTheme="minorHAnsi" w:eastAsia="Times New Roman" w:hAnsiTheme="minorHAnsi" w:cstheme="minorHAnsi"/>
        </w:rPr>
        <w:t>The following sets out milestones for d</w:t>
      </w:r>
      <w:r w:rsidR="00F957D2">
        <w:rPr>
          <w:rFonts w:asciiTheme="minorHAnsi" w:eastAsia="Times New Roman" w:hAnsiTheme="minorHAnsi" w:cstheme="minorHAnsi"/>
        </w:rPr>
        <w:t>elivering the asset management and accommodation strategy</w:t>
      </w:r>
      <w:r w:rsidR="008002C2">
        <w:rPr>
          <w:rFonts w:asciiTheme="minorHAnsi" w:eastAsia="Times New Roman" w:hAnsiTheme="minorHAnsi" w:cstheme="minorHAnsi"/>
        </w:rPr>
        <w:t>.</w:t>
      </w:r>
    </w:p>
    <w:p w14:paraId="035992DD" w14:textId="77777777" w:rsidR="00F957D2" w:rsidRPr="004E791A" w:rsidRDefault="00F957D2" w:rsidP="00940844">
      <w:pPr>
        <w:rPr>
          <w:rFonts w:asciiTheme="minorHAnsi" w:eastAsia="Times New Roman" w:hAnsiTheme="minorHAnsi" w:cstheme="minorHAnsi"/>
        </w:rPr>
      </w:pPr>
    </w:p>
    <w:p w14:paraId="5738547F" w14:textId="7E4FBD25" w:rsidR="001B28AB" w:rsidRDefault="001B28AB" w:rsidP="000A5E7A">
      <w:r w:rsidRPr="00B20193">
        <w:t>Implementation of the Strategic Asset Management Plan will be overseen by the Asset Management Board.  The A</w:t>
      </w:r>
      <w:r w:rsidR="008002C2">
        <w:t xml:space="preserve">sset </w:t>
      </w:r>
      <w:r w:rsidRPr="00B20193">
        <w:t>M</w:t>
      </w:r>
      <w:r w:rsidR="008002C2">
        <w:t xml:space="preserve">anagement </w:t>
      </w:r>
      <w:r w:rsidRPr="00B20193">
        <w:t>B</w:t>
      </w:r>
      <w:r w:rsidR="008002C2">
        <w:t xml:space="preserve">oard </w:t>
      </w:r>
      <w:r w:rsidRPr="00B20193">
        <w:t xml:space="preserve">will in addition report to the Regeneration Board on a 6-monthly basis in relation to delivery of the Strategic Asset Management Plan.  </w:t>
      </w:r>
    </w:p>
    <w:p w14:paraId="6DD7FB0A" w14:textId="77777777" w:rsidR="001B28AB" w:rsidRDefault="001B28AB" w:rsidP="000A5E7A"/>
    <w:p w14:paraId="0EE42557" w14:textId="51411612" w:rsidR="001B28AB" w:rsidRDefault="001B28AB" w:rsidP="000A5E7A">
      <w:r>
        <w:t xml:space="preserve">It is expected that the action plan will be updated </w:t>
      </w:r>
      <w:r w:rsidR="008002C2">
        <w:t xml:space="preserve">and reported on </w:t>
      </w:r>
      <w:r>
        <w:t>annually as part of the commitment to produce an Annual Business Report on Assets and that the Strategic Asset Management Plan will be reviewed and republished in 2018.</w:t>
      </w:r>
    </w:p>
    <w:p w14:paraId="08A309B2" w14:textId="77777777" w:rsidR="001B28AB" w:rsidRDefault="001B28AB" w:rsidP="000A5E7A"/>
    <w:p w14:paraId="54F35F63" w14:textId="12668D3A" w:rsidR="00963A6B" w:rsidRPr="00F3257F" w:rsidRDefault="00ED677D">
      <w:pPr>
        <w:spacing w:after="200" w:line="276" w:lineRule="auto"/>
        <w:rPr>
          <w:u w:val="single"/>
        </w:rPr>
      </w:pPr>
      <w:r w:rsidRPr="00F3257F">
        <w:rPr>
          <w:u w:val="single"/>
        </w:rPr>
        <w:t>Timeline</w:t>
      </w:r>
      <w:r w:rsidR="001D0B60" w:rsidRPr="00F3257F">
        <w:rPr>
          <w:u w:val="single"/>
        </w:rPr>
        <w:t xml:space="preserve"> </w:t>
      </w:r>
    </w:p>
    <w:tbl>
      <w:tblPr>
        <w:tblStyle w:val="TableGrid"/>
        <w:tblW w:w="0" w:type="auto"/>
        <w:tblLook w:val="04A0" w:firstRow="1" w:lastRow="0" w:firstColumn="1" w:lastColumn="0" w:noHBand="0" w:noVBand="1"/>
      </w:tblPr>
      <w:tblGrid>
        <w:gridCol w:w="1809"/>
        <w:gridCol w:w="8873"/>
      </w:tblGrid>
      <w:tr w:rsidR="00810322" w:rsidRPr="00F3257F" w14:paraId="064BF342" w14:textId="77777777" w:rsidTr="001D0B60">
        <w:tc>
          <w:tcPr>
            <w:tcW w:w="1809" w:type="dxa"/>
          </w:tcPr>
          <w:p w14:paraId="2A38A5E4" w14:textId="1E2895E7" w:rsidR="00810322" w:rsidRPr="00F3257F" w:rsidRDefault="00810322" w:rsidP="00810322">
            <w:pPr>
              <w:rPr>
                <w:b/>
                <w:u w:val="single"/>
              </w:rPr>
            </w:pPr>
            <w:r w:rsidRPr="00F3257F">
              <w:rPr>
                <w:b/>
              </w:rPr>
              <w:t>2014/15</w:t>
            </w:r>
          </w:p>
        </w:tc>
        <w:tc>
          <w:tcPr>
            <w:tcW w:w="8873" w:type="dxa"/>
          </w:tcPr>
          <w:p w14:paraId="35F5FAE2" w14:textId="77777777" w:rsidR="008002C2" w:rsidRDefault="00810322" w:rsidP="008002C2">
            <w:r w:rsidRPr="00F3257F">
              <w:t>Strategic Asset Management Plan published</w:t>
            </w:r>
            <w:r w:rsidR="001D0B60" w:rsidRPr="00F3257F">
              <w:t xml:space="preserve"> (Q4)</w:t>
            </w:r>
          </w:p>
          <w:p w14:paraId="5A40E2DC" w14:textId="48F88129" w:rsidR="004A0AAC" w:rsidRPr="00F3257F" w:rsidRDefault="008002C2" w:rsidP="008002C2">
            <w:r>
              <w:t xml:space="preserve">New </w:t>
            </w:r>
            <w:r w:rsidR="004A0AAC" w:rsidRPr="00F3257F">
              <w:t>Asset Management System operational</w:t>
            </w:r>
            <w:r w:rsidR="001D0B60" w:rsidRPr="00F3257F">
              <w:t xml:space="preserve"> (Q</w:t>
            </w:r>
            <w:r>
              <w:t>4</w:t>
            </w:r>
            <w:r w:rsidR="001D0B60" w:rsidRPr="00F3257F">
              <w:t>)</w:t>
            </w:r>
          </w:p>
        </w:tc>
      </w:tr>
      <w:tr w:rsidR="001D0B60" w:rsidRPr="00F3257F" w14:paraId="056182B0" w14:textId="77777777" w:rsidTr="005938F3">
        <w:trPr>
          <w:trHeight w:val="1067"/>
        </w:trPr>
        <w:tc>
          <w:tcPr>
            <w:tcW w:w="1809" w:type="dxa"/>
          </w:tcPr>
          <w:p w14:paraId="56D165EE" w14:textId="77777777" w:rsidR="001D0B60" w:rsidRPr="00F3257F" w:rsidRDefault="001D0B60" w:rsidP="00810322">
            <w:pPr>
              <w:rPr>
                <w:b/>
                <w:u w:val="single"/>
              </w:rPr>
            </w:pPr>
            <w:r w:rsidRPr="00F3257F">
              <w:rPr>
                <w:b/>
              </w:rPr>
              <w:t xml:space="preserve">2015/16 </w:t>
            </w:r>
          </w:p>
          <w:p w14:paraId="05D27AAA" w14:textId="77777777" w:rsidR="001D0B60" w:rsidRPr="00F3257F" w:rsidRDefault="001D0B60" w:rsidP="00810322">
            <w:pPr>
              <w:rPr>
                <w:b/>
                <w:u w:val="single"/>
              </w:rPr>
            </w:pPr>
          </w:p>
          <w:p w14:paraId="2ABFDC95" w14:textId="76B88A78" w:rsidR="001D0B60" w:rsidRPr="00F3257F" w:rsidRDefault="001D0B60" w:rsidP="00810322">
            <w:pPr>
              <w:rPr>
                <w:b/>
                <w:u w:val="single"/>
              </w:rPr>
            </w:pPr>
          </w:p>
        </w:tc>
        <w:tc>
          <w:tcPr>
            <w:tcW w:w="8873" w:type="dxa"/>
          </w:tcPr>
          <w:p w14:paraId="03CF63B3" w14:textId="03524C49" w:rsidR="001D0B60" w:rsidRPr="00F3257F" w:rsidRDefault="001D0B60" w:rsidP="00810322">
            <w:r w:rsidRPr="00F3257F">
              <w:t xml:space="preserve">New Asset Management Board </w:t>
            </w:r>
            <w:r w:rsidR="008002C2">
              <w:t>in place</w:t>
            </w:r>
            <w:r w:rsidRPr="00F3257F">
              <w:t xml:space="preserve"> (Q1)</w:t>
            </w:r>
          </w:p>
          <w:p w14:paraId="45A229A6" w14:textId="6ABA9156" w:rsidR="001D0B60" w:rsidRPr="00F3257F" w:rsidRDefault="001D0B60" w:rsidP="00810322">
            <w:r w:rsidRPr="00F3257F">
              <w:t>Reorganisation of Regeneration and Asset Management complete (Q</w:t>
            </w:r>
            <w:r w:rsidR="008002C2">
              <w:t>1</w:t>
            </w:r>
            <w:r w:rsidRPr="00F3257F">
              <w:t>)</w:t>
            </w:r>
          </w:p>
          <w:p w14:paraId="7924AA88" w14:textId="77777777" w:rsidR="001D0B60" w:rsidRPr="00F3257F" w:rsidRDefault="001D0B60" w:rsidP="00810322">
            <w:r w:rsidRPr="00F3257F">
              <w:t>Annual Business Report published (Q2)</w:t>
            </w:r>
          </w:p>
          <w:p w14:paraId="1D7DFD0C" w14:textId="4ADC7184" w:rsidR="001D0B60" w:rsidRPr="00F3257F" w:rsidRDefault="008002C2" w:rsidP="00810322">
            <w:r>
              <w:t>Phase 1 of asset optimisation complete  and investment plan for operational estate agreed (Q4)</w:t>
            </w:r>
          </w:p>
        </w:tc>
      </w:tr>
      <w:tr w:rsidR="00810322" w:rsidRPr="00F3257F" w14:paraId="20BE22FA" w14:textId="77777777" w:rsidTr="001D0B60">
        <w:tc>
          <w:tcPr>
            <w:tcW w:w="1809" w:type="dxa"/>
          </w:tcPr>
          <w:p w14:paraId="27F9DBB4" w14:textId="72F2E7A4" w:rsidR="00810322" w:rsidRPr="00F3257F" w:rsidRDefault="00810322" w:rsidP="00810322">
            <w:pPr>
              <w:rPr>
                <w:b/>
                <w:u w:val="single"/>
              </w:rPr>
            </w:pPr>
            <w:r w:rsidRPr="00F3257F">
              <w:rPr>
                <w:b/>
              </w:rPr>
              <w:t>2016/17</w:t>
            </w:r>
          </w:p>
        </w:tc>
        <w:tc>
          <w:tcPr>
            <w:tcW w:w="8873" w:type="dxa"/>
          </w:tcPr>
          <w:p w14:paraId="5B699B9B" w14:textId="77777777" w:rsidR="0043179A" w:rsidRDefault="008002C2" w:rsidP="0043179A">
            <w:r>
              <w:t>I</w:t>
            </w:r>
            <w:r w:rsidR="002D0E07" w:rsidRPr="00F3257F">
              <w:t>mplementation of rent reviews complete (Q4)</w:t>
            </w:r>
            <w:r w:rsidR="0043179A" w:rsidRPr="00F3257F">
              <w:t xml:space="preserve"> </w:t>
            </w:r>
          </w:p>
          <w:p w14:paraId="5AF75E6E" w14:textId="77777777" w:rsidR="0043179A" w:rsidRDefault="0043179A" w:rsidP="002D0E07">
            <w:r w:rsidRPr="00F3257F">
              <w:t xml:space="preserve">FM realignment implemented (Q4) </w:t>
            </w:r>
          </w:p>
          <w:p w14:paraId="376E624E" w14:textId="49F232F1" w:rsidR="00810322" w:rsidRPr="00F3257F" w:rsidRDefault="0043179A" w:rsidP="0043179A">
            <w:r w:rsidRPr="00F3257F">
              <w:t>Phase 2 of asset optimisation implemented (Q</w:t>
            </w:r>
            <w:r>
              <w:t>4</w:t>
            </w:r>
            <w:r w:rsidRPr="00F3257F">
              <w:t>)</w:t>
            </w:r>
          </w:p>
        </w:tc>
      </w:tr>
      <w:tr w:rsidR="00810322" w:rsidRPr="00F3257F" w14:paraId="3E79153C" w14:textId="77777777" w:rsidTr="001D0B60">
        <w:tc>
          <w:tcPr>
            <w:tcW w:w="1809" w:type="dxa"/>
          </w:tcPr>
          <w:p w14:paraId="3950A617" w14:textId="0C3965DA" w:rsidR="00810322" w:rsidRPr="00F3257F" w:rsidRDefault="00810322" w:rsidP="00810322">
            <w:pPr>
              <w:rPr>
                <w:b/>
                <w:u w:val="single"/>
              </w:rPr>
            </w:pPr>
            <w:r w:rsidRPr="00F3257F">
              <w:rPr>
                <w:b/>
              </w:rPr>
              <w:t>2017/18</w:t>
            </w:r>
          </w:p>
        </w:tc>
        <w:tc>
          <w:tcPr>
            <w:tcW w:w="8873" w:type="dxa"/>
          </w:tcPr>
          <w:p w14:paraId="66008EF4" w14:textId="31705F97" w:rsidR="00810322" w:rsidRPr="00F3257F" w:rsidRDefault="0043179A" w:rsidP="004A0AAC">
            <w:r>
              <w:t>New investment programme achieving £200k annual income</w:t>
            </w:r>
          </w:p>
        </w:tc>
      </w:tr>
      <w:tr w:rsidR="00810322" w:rsidRPr="00F3257F" w14:paraId="53DA16FD" w14:textId="77777777" w:rsidTr="001D0B60">
        <w:tc>
          <w:tcPr>
            <w:tcW w:w="1809" w:type="dxa"/>
          </w:tcPr>
          <w:p w14:paraId="451B7B4A" w14:textId="0F839DCA" w:rsidR="00810322" w:rsidRPr="00F3257F" w:rsidRDefault="00810322" w:rsidP="007E04E9">
            <w:pPr>
              <w:rPr>
                <w:b/>
                <w:u w:val="single"/>
              </w:rPr>
            </w:pPr>
            <w:r w:rsidRPr="00F3257F">
              <w:rPr>
                <w:b/>
              </w:rPr>
              <w:t>2018/19</w:t>
            </w:r>
          </w:p>
        </w:tc>
        <w:tc>
          <w:tcPr>
            <w:tcW w:w="8873" w:type="dxa"/>
          </w:tcPr>
          <w:p w14:paraId="4A55ACFC" w14:textId="09C39560" w:rsidR="00810322" w:rsidRPr="00F3257F" w:rsidRDefault="004A0AAC" w:rsidP="008002C2">
            <w:r w:rsidRPr="00F3257F">
              <w:t>All assets either commercial or operational</w:t>
            </w:r>
            <w:r w:rsidR="001D0B60" w:rsidRPr="00F3257F">
              <w:t xml:space="preserve"> </w:t>
            </w:r>
          </w:p>
        </w:tc>
      </w:tr>
      <w:tr w:rsidR="00810322" w:rsidRPr="00F3257F" w14:paraId="04540C20" w14:textId="77777777" w:rsidTr="001D0B60">
        <w:tc>
          <w:tcPr>
            <w:tcW w:w="1809" w:type="dxa"/>
          </w:tcPr>
          <w:p w14:paraId="70B0C0C6" w14:textId="2292F5CF" w:rsidR="00810322" w:rsidRPr="00F3257F" w:rsidRDefault="00810322" w:rsidP="007E04E9">
            <w:pPr>
              <w:rPr>
                <w:b/>
                <w:u w:val="single"/>
              </w:rPr>
            </w:pPr>
            <w:r w:rsidRPr="00F3257F">
              <w:rPr>
                <w:b/>
              </w:rPr>
              <w:t>2020+</w:t>
            </w:r>
          </w:p>
        </w:tc>
        <w:tc>
          <w:tcPr>
            <w:tcW w:w="8873" w:type="dxa"/>
          </w:tcPr>
          <w:p w14:paraId="47E0561A" w14:textId="65E2C27C" w:rsidR="00810322" w:rsidRPr="00F3257F" w:rsidRDefault="004A0AAC" w:rsidP="008002C2">
            <w:r w:rsidRPr="00F3257F">
              <w:t>New Investment programme achieving £5m</w:t>
            </w:r>
            <w:r w:rsidR="002D0E07">
              <w:t>+</w:t>
            </w:r>
            <w:r w:rsidRPr="00F3257F">
              <w:t xml:space="preserve"> </w:t>
            </w:r>
            <w:r w:rsidR="0043179A">
              <w:t xml:space="preserve">annual </w:t>
            </w:r>
            <w:r w:rsidRPr="00F3257F">
              <w:t>income</w:t>
            </w:r>
            <w:r w:rsidR="001D0B60" w:rsidRPr="00F3257F">
              <w:t xml:space="preserve"> </w:t>
            </w:r>
          </w:p>
        </w:tc>
      </w:tr>
    </w:tbl>
    <w:p w14:paraId="5B3D7EBD" w14:textId="77777777" w:rsidR="00953EFB" w:rsidRDefault="00953EFB" w:rsidP="00953EFB">
      <w:pPr>
        <w:rPr>
          <w:sz w:val="24"/>
          <w:szCs w:val="24"/>
          <w:u w:val="single"/>
        </w:rPr>
      </w:pPr>
    </w:p>
    <w:p w14:paraId="0D9F158E" w14:textId="7B973141" w:rsidR="00810322" w:rsidRPr="00D911AE" w:rsidRDefault="007E04E9" w:rsidP="00810322">
      <w:pPr>
        <w:spacing w:after="200" w:line="276" w:lineRule="auto"/>
        <w:rPr>
          <w:sz w:val="24"/>
          <w:szCs w:val="24"/>
          <w:u w:val="single"/>
        </w:rPr>
      </w:pPr>
      <w:r w:rsidRPr="00D911AE">
        <w:rPr>
          <w:sz w:val="24"/>
          <w:szCs w:val="24"/>
          <w:u w:val="single"/>
        </w:rPr>
        <w:t>Savings targets</w:t>
      </w:r>
    </w:p>
    <w:tbl>
      <w:tblPr>
        <w:tblStyle w:val="TableGrid"/>
        <w:tblW w:w="0" w:type="auto"/>
        <w:tblLayout w:type="fixed"/>
        <w:tblLook w:val="04A0" w:firstRow="1" w:lastRow="0" w:firstColumn="1" w:lastColumn="0" w:noHBand="0" w:noVBand="1"/>
      </w:tblPr>
      <w:tblGrid>
        <w:gridCol w:w="3652"/>
        <w:gridCol w:w="1134"/>
        <w:gridCol w:w="1134"/>
        <w:gridCol w:w="1134"/>
        <w:gridCol w:w="1134"/>
        <w:gridCol w:w="1418"/>
        <w:gridCol w:w="1076"/>
      </w:tblGrid>
      <w:tr w:rsidR="00953EFB" w:rsidRPr="00D911AE" w14:paraId="15E0EC85" w14:textId="77777777" w:rsidTr="00953EFB">
        <w:tc>
          <w:tcPr>
            <w:tcW w:w="3652" w:type="dxa"/>
          </w:tcPr>
          <w:p w14:paraId="11A3B9B5" w14:textId="77777777" w:rsidR="007E04E9" w:rsidRPr="00D911AE" w:rsidRDefault="007E04E9" w:rsidP="007E04E9">
            <w:pPr>
              <w:rPr>
                <w:sz w:val="24"/>
                <w:szCs w:val="24"/>
              </w:rPr>
            </w:pPr>
          </w:p>
        </w:tc>
        <w:tc>
          <w:tcPr>
            <w:tcW w:w="1134" w:type="dxa"/>
          </w:tcPr>
          <w:p w14:paraId="51181B09" w14:textId="37F380F3" w:rsidR="007E04E9" w:rsidRPr="00D911AE" w:rsidRDefault="007E04E9" w:rsidP="00953EFB">
            <w:pPr>
              <w:jc w:val="right"/>
              <w:rPr>
                <w:sz w:val="24"/>
                <w:szCs w:val="24"/>
              </w:rPr>
            </w:pPr>
            <w:r w:rsidRPr="00D911AE">
              <w:rPr>
                <w:sz w:val="24"/>
                <w:szCs w:val="24"/>
              </w:rPr>
              <w:t>2014/15</w:t>
            </w:r>
          </w:p>
        </w:tc>
        <w:tc>
          <w:tcPr>
            <w:tcW w:w="1134" w:type="dxa"/>
          </w:tcPr>
          <w:p w14:paraId="24D210A6" w14:textId="13A6ADF1" w:rsidR="007E04E9" w:rsidRPr="00D911AE" w:rsidRDefault="007E04E9" w:rsidP="00953EFB">
            <w:pPr>
              <w:jc w:val="right"/>
              <w:rPr>
                <w:sz w:val="24"/>
                <w:szCs w:val="24"/>
              </w:rPr>
            </w:pPr>
            <w:r w:rsidRPr="00D911AE">
              <w:rPr>
                <w:sz w:val="24"/>
                <w:szCs w:val="24"/>
              </w:rPr>
              <w:t>2015/16</w:t>
            </w:r>
          </w:p>
        </w:tc>
        <w:tc>
          <w:tcPr>
            <w:tcW w:w="1134" w:type="dxa"/>
          </w:tcPr>
          <w:p w14:paraId="29D564C2" w14:textId="7C6BAAD9" w:rsidR="007E04E9" w:rsidRPr="00D911AE" w:rsidRDefault="007E04E9" w:rsidP="00953EFB">
            <w:pPr>
              <w:jc w:val="right"/>
              <w:rPr>
                <w:sz w:val="24"/>
                <w:szCs w:val="24"/>
              </w:rPr>
            </w:pPr>
            <w:r w:rsidRPr="00D911AE">
              <w:rPr>
                <w:sz w:val="24"/>
                <w:szCs w:val="24"/>
              </w:rPr>
              <w:t>2016/17</w:t>
            </w:r>
          </w:p>
        </w:tc>
        <w:tc>
          <w:tcPr>
            <w:tcW w:w="1134" w:type="dxa"/>
          </w:tcPr>
          <w:p w14:paraId="7A871FA5" w14:textId="1558B1BD" w:rsidR="007E04E9" w:rsidRPr="00D911AE" w:rsidRDefault="007E04E9" w:rsidP="00953EFB">
            <w:pPr>
              <w:jc w:val="right"/>
              <w:rPr>
                <w:sz w:val="24"/>
                <w:szCs w:val="24"/>
              </w:rPr>
            </w:pPr>
            <w:r w:rsidRPr="00D911AE">
              <w:rPr>
                <w:sz w:val="24"/>
                <w:szCs w:val="24"/>
              </w:rPr>
              <w:t>2017/18</w:t>
            </w:r>
          </w:p>
        </w:tc>
        <w:tc>
          <w:tcPr>
            <w:tcW w:w="1418" w:type="dxa"/>
          </w:tcPr>
          <w:p w14:paraId="2CD5ED7C" w14:textId="15AB52AC" w:rsidR="007E04E9" w:rsidRPr="00D911AE" w:rsidRDefault="007E04E9" w:rsidP="00953EFB">
            <w:pPr>
              <w:jc w:val="right"/>
              <w:rPr>
                <w:b/>
                <w:sz w:val="24"/>
                <w:szCs w:val="24"/>
              </w:rPr>
            </w:pPr>
            <w:r w:rsidRPr="00D911AE">
              <w:rPr>
                <w:b/>
                <w:sz w:val="24"/>
                <w:szCs w:val="24"/>
              </w:rPr>
              <w:t>TOTAL</w:t>
            </w:r>
            <w:r w:rsidR="00953EFB" w:rsidRPr="00D911AE">
              <w:rPr>
                <w:b/>
                <w:sz w:val="24"/>
                <w:szCs w:val="24"/>
              </w:rPr>
              <w:t xml:space="preserve"> (£m)</w:t>
            </w:r>
          </w:p>
        </w:tc>
        <w:tc>
          <w:tcPr>
            <w:tcW w:w="1076" w:type="dxa"/>
          </w:tcPr>
          <w:p w14:paraId="2604814B" w14:textId="68A73AA6" w:rsidR="007E04E9" w:rsidRPr="00D911AE" w:rsidRDefault="007E04E9" w:rsidP="00953EFB">
            <w:pPr>
              <w:jc w:val="right"/>
              <w:rPr>
                <w:sz w:val="24"/>
                <w:szCs w:val="24"/>
              </w:rPr>
            </w:pPr>
            <w:r w:rsidRPr="00D911AE">
              <w:rPr>
                <w:sz w:val="24"/>
                <w:szCs w:val="24"/>
              </w:rPr>
              <w:t>2020</w:t>
            </w:r>
          </w:p>
        </w:tc>
      </w:tr>
      <w:tr w:rsidR="00953EFB" w:rsidRPr="00D911AE" w14:paraId="5C5536F9" w14:textId="77777777" w:rsidTr="00D911AE">
        <w:tc>
          <w:tcPr>
            <w:tcW w:w="3652" w:type="dxa"/>
          </w:tcPr>
          <w:p w14:paraId="632F8CCB" w14:textId="77777777" w:rsidR="007E04E9" w:rsidRDefault="007E04E9" w:rsidP="007E04E9">
            <w:pPr>
              <w:rPr>
                <w:sz w:val="24"/>
                <w:szCs w:val="24"/>
              </w:rPr>
            </w:pPr>
            <w:r w:rsidRPr="00D911AE">
              <w:rPr>
                <w:sz w:val="24"/>
                <w:szCs w:val="24"/>
              </w:rPr>
              <w:t>Structural reorganisation</w:t>
            </w:r>
          </w:p>
          <w:p w14:paraId="70DE6EB9" w14:textId="726286A9" w:rsidR="00D911AE" w:rsidRPr="00D911AE" w:rsidRDefault="00D911AE" w:rsidP="007E04E9">
            <w:pPr>
              <w:rPr>
                <w:sz w:val="24"/>
                <w:szCs w:val="24"/>
              </w:rPr>
            </w:pPr>
            <w:r>
              <w:rPr>
                <w:sz w:val="24"/>
                <w:szCs w:val="24"/>
              </w:rPr>
              <w:t>(</w:t>
            </w:r>
            <w:r w:rsidRPr="006A1BAA">
              <w:rPr>
                <w:sz w:val="24"/>
                <w:szCs w:val="24"/>
                <w:highlight w:val="lightGray"/>
              </w:rPr>
              <w:t>Reduced expenditure</w:t>
            </w:r>
            <w:r>
              <w:rPr>
                <w:sz w:val="24"/>
                <w:szCs w:val="24"/>
              </w:rPr>
              <w:t>)</w:t>
            </w:r>
          </w:p>
        </w:tc>
        <w:tc>
          <w:tcPr>
            <w:tcW w:w="1134" w:type="dxa"/>
            <w:vAlign w:val="center"/>
          </w:tcPr>
          <w:p w14:paraId="204AA931" w14:textId="6D7F783C" w:rsidR="007E04E9" w:rsidRPr="00D911AE" w:rsidRDefault="00260103" w:rsidP="00D911AE">
            <w:pPr>
              <w:jc w:val="right"/>
              <w:rPr>
                <w:sz w:val="24"/>
                <w:szCs w:val="24"/>
              </w:rPr>
            </w:pPr>
            <w:r w:rsidRPr="00D911AE">
              <w:rPr>
                <w:sz w:val="24"/>
                <w:szCs w:val="24"/>
              </w:rPr>
              <w:t>0.35</w:t>
            </w:r>
          </w:p>
        </w:tc>
        <w:tc>
          <w:tcPr>
            <w:tcW w:w="1134" w:type="dxa"/>
            <w:vAlign w:val="center"/>
          </w:tcPr>
          <w:p w14:paraId="6B498B8C" w14:textId="7030F2F7" w:rsidR="007E04E9" w:rsidRPr="00D911AE" w:rsidRDefault="00260103" w:rsidP="00D911AE">
            <w:pPr>
              <w:jc w:val="right"/>
              <w:rPr>
                <w:sz w:val="24"/>
                <w:szCs w:val="24"/>
              </w:rPr>
            </w:pPr>
            <w:r w:rsidRPr="00D911AE">
              <w:rPr>
                <w:sz w:val="24"/>
                <w:szCs w:val="24"/>
              </w:rPr>
              <w:t>0.60</w:t>
            </w:r>
          </w:p>
        </w:tc>
        <w:tc>
          <w:tcPr>
            <w:tcW w:w="1134" w:type="dxa"/>
            <w:vAlign w:val="center"/>
          </w:tcPr>
          <w:p w14:paraId="7F7B7663" w14:textId="77777777" w:rsidR="007E04E9" w:rsidRPr="00D911AE" w:rsidRDefault="007E04E9" w:rsidP="00D911AE">
            <w:pPr>
              <w:jc w:val="right"/>
              <w:rPr>
                <w:sz w:val="24"/>
                <w:szCs w:val="24"/>
              </w:rPr>
            </w:pPr>
          </w:p>
        </w:tc>
        <w:tc>
          <w:tcPr>
            <w:tcW w:w="1134" w:type="dxa"/>
            <w:vAlign w:val="center"/>
          </w:tcPr>
          <w:p w14:paraId="3E79AFF9" w14:textId="77777777" w:rsidR="007E04E9" w:rsidRPr="00D911AE" w:rsidRDefault="007E04E9" w:rsidP="00D911AE">
            <w:pPr>
              <w:jc w:val="right"/>
              <w:rPr>
                <w:sz w:val="24"/>
                <w:szCs w:val="24"/>
              </w:rPr>
            </w:pPr>
          </w:p>
        </w:tc>
        <w:tc>
          <w:tcPr>
            <w:tcW w:w="1418" w:type="dxa"/>
            <w:vAlign w:val="center"/>
          </w:tcPr>
          <w:p w14:paraId="5D60AE9C" w14:textId="75B4C45E" w:rsidR="007E04E9" w:rsidRPr="00D911AE" w:rsidRDefault="00260103" w:rsidP="00D911AE">
            <w:pPr>
              <w:jc w:val="right"/>
              <w:rPr>
                <w:b/>
                <w:sz w:val="24"/>
                <w:szCs w:val="24"/>
              </w:rPr>
            </w:pPr>
            <w:r w:rsidRPr="00D911AE">
              <w:rPr>
                <w:b/>
                <w:sz w:val="24"/>
                <w:szCs w:val="24"/>
              </w:rPr>
              <w:t>0.96</w:t>
            </w:r>
          </w:p>
        </w:tc>
        <w:tc>
          <w:tcPr>
            <w:tcW w:w="1076" w:type="dxa"/>
            <w:vAlign w:val="center"/>
          </w:tcPr>
          <w:p w14:paraId="611777A1" w14:textId="77777777" w:rsidR="007E04E9" w:rsidRPr="00D911AE" w:rsidRDefault="007E04E9" w:rsidP="00D911AE">
            <w:pPr>
              <w:jc w:val="right"/>
              <w:rPr>
                <w:sz w:val="24"/>
                <w:szCs w:val="24"/>
              </w:rPr>
            </w:pPr>
          </w:p>
        </w:tc>
      </w:tr>
      <w:tr w:rsidR="00953EFB" w:rsidRPr="00D911AE" w14:paraId="32CFEDCE" w14:textId="77777777" w:rsidTr="00D911AE">
        <w:tc>
          <w:tcPr>
            <w:tcW w:w="3652" w:type="dxa"/>
          </w:tcPr>
          <w:p w14:paraId="48D50172" w14:textId="77777777" w:rsidR="007E04E9" w:rsidRDefault="007E04E9" w:rsidP="007E04E9">
            <w:pPr>
              <w:rPr>
                <w:sz w:val="24"/>
                <w:szCs w:val="24"/>
              </w:rPr>
            </w:pPr>
            <w:r w:rsidRPr="00D911AE">
              <w:rPr>
                <w:sz w:val="24"/>
                <w:szCs w:val="24"/>
              </w:rPr>
              <w:t>Operational estate optimisation</w:t>
            </w:r>
          </w:p>
          <w:p w14:paraId="4C2AE658" w14:textId="1C8D1D35" w:rsidR="00D911AE" w:rsidRPr="00D911AE" w:rsidRDefault="00D911AE" w:rsidP="007E04E9">
            <w:pPr>
              <w:rPr>
                <w:sz w:val="24"/>
                <w:szCs w:val="24"/>
              </w:rPr>
            </w:pPr>
            <w:r>
              <w:rPr>
                <w:sz w:val="24"/>
                <w:szCs w:val="24"/>
              </w:rPr>
              <w:t>(</w:t>
            </w:r>
            <w:r w:rsidRPr="006A1BAA">
              <w:rPr>
                <w:sz w:val="24"/>
                <w:szCs w:val="24"/>
                <w:highlight w:val="lightGray"/>
              </w:rPr>
              <w:t>Reduced expenditure</w:t>
            </w:r>
            <w:r>
              <w:rPr>
                <w:sz w:val="24"/>
                <w:szCs w:val="24"/>
              </w:rPr>
              <w:t>)</w:t>
            </w:r>
          </w:p>
        </w:tc>
        <w:tc>
          <w:tcPr>
            <w:tcW w:w="1134" w:type="dxa"/>
            <w:vAlign w:val="center"/>
          </w:tcPr>
          <w:p w14:paraId="24D3896C" w14:textId="7AA9D9A2" w:rsidR="007E04E9" w:rsidRPr="00D911AE" w:rsidRDefault="00260103" w:rsidP="00D911AE">
            <w:pPr>
              <w:jc w:val="right"/>
              <w:rPr>
                <w:sz w:val="24"/>
                <w:szCs w:val="24"/>
              </w:rPr>
            </w:pPr>
            <w:r w:rsidRPr="00D911AE">
              <w:rPr>
                <w:sz w:val="24"/>
                <w:szCs w:val="24"/>
              </w:rPr>
              <w:t>0.92</w:t>
            </w:r>
          </w:p>
        </w:tc>
        <w:tc>
          <w:tcPr>
            <w:tcW w:w="1134" w:type="dxa"/>
            <w:vAlign w:val="center"/>
          </w:tcPr>
          <w:p w14:paraId="624BCAB3" w14:textId="20E5E578" w:rsidR="007E04E9" w:rsidRPr="00D911AE" w:rsidRDefault="00260103" w:rsidP="00D911AE">
            <w:pPr>
              <w:jc w:val="right"/>
              <w:rPr>
                <w:sz w:val="24"/>
                <w:szCs w:val="24"/>
              </w:rPr>
            </w:pPr>
            <w:r w:rsidRPr="00D911AE">
              <w:rPr>
                <w:sz w:val="24"/>
                <w:szCs w:val="24"/>
              </w:rPr>
              <w:t>0.19</w:t>
            </w:r>
          </w:p>
        </w:tc>
        <w:tc>
          <w:tcPr>
            <w:tcW w:w="1134" w:type="dxa"/>
            <w:vAlign w:val="center"/>
          </w:tcPr>
          <w:p w14:paraId="10AC2666" w14:textId="54680623" w:rsidR="007E04E9" w:rsidRPr="00D911AE" w:rsidRDefault="00260103" w:rsidP="00D911AE">
            <w:pPr>
              <w:jc w:val="right"/>
              <w:rPr>
                <w:sz w:val="24"/>
                <w:szCs w:val="24"/>
              </w:rPr>
            </w:pPr>
            <w:r w:rsidRPr="00D911AE">
              <w:rPr>
                <w:sz w:val="24"/>
                <w:szCs w:val="24"/>
              </w:rPr>
              <w:t>0.30</w:t>
            </w:r>
          </w:p>
        </w:tc>
        <w:tc>
          <w:tcPr>
            <w:tcW w:w="1134" w:type="dxa"/>
            <w:vAlign w:val="center"/>
          </w:tcPr>
          <w:p w14:paraId="3749C3B6" w14:textId="6FAE92D5" w:rsidR="007E04E9" w:rsidRPr="00D911AE" w:rsidRDefault="00260103" w:rsidP="00D911AE">
            <w:pPr>
              <w:jc w:val="right"/>
              <w:rPr>
                <w:sz w:val="24"/>
                <w:szCs w:val="24"/>
              </w:rPr>
            </w:pPr>
            <w:r w:rsidRPr="00D911AE">
              <w:rPr>
                <w:sz w:val="24"/>
                <w:szCs w:val="24"/>
              </w:rPr>
              <w:t>0.67</w:t>
            </w:r>
          </w:p>
        </w:tc>
        <w:tc>
          <w:tcPr>
            <w:tcW w:w="1418" w:type="dxa"/>
            <w:vAlign w:val="center"/>
          </w:tcPr>
          <w:p w14:paraId="23E600D9" w14:textId="32DE42A2" w:rsidR="007E04E9" w:rsidRPr="00D911AE" w:rsidRDefault="00260103" w:rsidP="00D911AE">
            <w:pPr>
              <w:jc w:val="right"/>
              <w:rPr>
                <w:b/>
                <w:sz w:val="24"/>
                <w:szCs w:val="24"/>
              </w:rPr>
            </w:pPr>
            <w:r w:rsidRPr="00D911AE">
              <w:rPr>
                <w:b/>
                <w:sz w:val="24"/>
                <w:szCs w:val="24"/>
              </w:rPr>
              <w:t>2.08</w:t>
            </w:r>
          </w:p>
        </w:tc>
        <w:tc>
          <w:tcPr>
            <w:tcW w:w="1076" w:type="dxa"/>
            <w:vAlign w:val="center"/>
          </w:tcPr>
          <w:p w14:paraId="49BB559B" w14:textId="77777777" w:rsidR="007E04E9" w:rsidRPr="00D911AE" w:rsidRDefault="007E04E9" w:rsidP="00D911AE">
            <w:pPr>
              <w:jc w:val="right"/>
              <w:rPr>
                <w:sz w:val="24"/>
                <w:szCs w:val="24"/>
              </w:rPr>
            </w:pPr>
          </w:p>
        </w:tc>
      </w:tr>
      <w:tr w:rsidR="00953EFB" w:rsidRPr="00D911AE" w14:paraId="22B84C0B" w14:textId="77777777" w:rsidTr="00D911AE">
        <w:tc>
          <w:tcPr>
            <w:tcW w:w="3652" w:type="dxa"/>
          </w:tcPr>
          <w:p w14:paraId="6CA642C8" w14:textId="77777777" w:rsidR="007E04E9" w:rsidRDefault="007E04E9" w:rsidP="007E04E9">
            <w:pPr>
              <w:rPr>
                <w:sz w:val="24"/>
                <w:szCs w:val="24"/>
              </w:rPr>
            </w:pPr>
            <w:r w:rsidRPr="00D911AE">
              <w:rPr>
                <w:sz w:val="24"/>
                <w:szCs w:val="24"/>
              </w:rPr>
              <w:t>Commercial estate optimisation</w:t>
            </w:r>
          </w:p>
          <w:p w14:paraId="6DE2D126" w14:textId="4ECB5EB4" w:rsidR="00D911AE" w:rsidRPr="00D911AE" w:rsidRDefault="00D911AE" w:rsidP="00D911AE">
            <w:pPr>
              <w:rPr>
                <w:sz w:val="24"/>
                <w:szCs w:val="24"/>
              </w:rPr>
            </w:pPr>
            <w:r>
              <w:rPr>
                <w:sz w:val="24"/>
                <w:szCs w:val="24"/>
              </w:rPr>
              <w:t>(</w:t>
            </w:r>
            <w:r w:rsidRPr="006A1BAA">
              <w:rPr>
                <w:sz w:val="24"/>
                <w:szCs w:val="24"/>
                <w:highlight w:val="lightGray"/>
              </w:rPr>
              <w:t>Additional income</w:t>
            </w:r>
            <w:r>
              <w:rPr>
                <w:sz w:val="24"/>
                <w:szCs w:val="24"/>
              </w:rPr>
              <w:t>)</w:t>
            </w:r>
          </w:p>
        </w:tc>
        <w:tc>
          <w:tcPr>
            <w:tcW w:w="1134" w:type="dxa"/>
            <w:vAlign w:val="center"/>
          </w:tcPr>
          <w:p w14:paraId="317E8C6D" w14:textId="77777777" w:rsidR="007E04E9" w:rsidRPr="00D911AE" w:rsidRDefault="007E04E9" w:rsidP="00D911AE">
            <w:pPr>
              <w:jc w:val="right"/>
              <w:rPr>
                <w:sz w:val="24"/>
                <w:szCs w:val="24"/>
              </w:rPr>
            </w:pPr>
          </w:p>
        </w:tc>
        <w:tc>
          <w:tcPr>
            <w:tcW w:w="1134" w:type="dxa"/>
            <w:vAlign w:val="center"/>
          </w:tcPr>
          <w:p w14:paraId="5EDE018B" w14:textId="2EA0EA43" w:rsidR="007E04E9" w:rsidRPr="00D911AE" w:rsidRDefault="00260103" w:rsidP="00D911AE">
            <w:pPr>
              <w:jc w:val="right"/>
              <w:rPr>
                <w:sz w:val="24"/>
                <w:szCs w:val="24"/>
              </w:rPr>
            </w:pPr>
            <w:r w:rsidRPr="00D911AE">
              <w:rPr>
                <w:sz w:val="24"/>
                <w:szCs w:val="24"/>
              </w:rPr>
              <w:t>0.35</w:t>
            </w:r>
          </w:p>
        </w:tc>
        <w:tc>
          <w:tcPr>
            <w:tcW w:w="1134" w:type="dxa"/>
            <w:vAlign w:val="center"/>
          </w:tcPr>
          <w:p w14:paraId="05EE2A6F" w14:textId="35C0479B" w:rsidR="007E04E9" w:rsidRPr="00D911AE" w:rsidRDefault="00260103" w:rsidP="00D911AE">
            <w:pPr>
              <w:jc w:val="right"/>
              <w:rPr>
                <w:sz w:val="24"/>
                <w:szCs w:val="24"/>
              </w:rPr>
            </w:pPr>
            <w:r w:rsidRPr="00D911AE">
              <w:rPr>
                <w:sz w:val="24"/>
                <w:szCs w:val="24"/>
              </w:rPr>
              <w:t>0.45</w:t>
            </w:r>
          </w:p>
        </w:tc>
        <w:tc>
          <w:tcPr>
            <w:tcW w:w="1134" w:type="dxa"/>
            <w:vAlign w:val="center"/>
          </w:tcPr>
          <w:p w14:paraId="1CDE9E3F" w14:textId="1743EF37" w:rsidR="007E04E9" w:rsidRPr="00D911AE" w:rsidRDefault="00260103" w:rsidP="00D911AE">
            <w:pPr>
              <w:jc w:val="right"/>
              <w:rPr>
                <w:sz w:val="24"/>
                <w:szCs w:val="24"/>
              </w:rPr>
            </w:pPr>
            <w:r w:rsidRPr="00D911AE">
              <w:rPr>
                <w:sz w:val="24"/>
                <w:szCs w:val="24"/>
              </w:rPr>
              <w:t>0.10</w:t>
            </w:r>
          </w:p>
        </w:tc>
        <w:tc>
          <w:tcPr>
            <w:tcW w:w="1418" w:type="dxa"/>
            <w:vAlign w:val="center"/>
          </w:tcPr>
          <w:p w14:paraId="23699A06" w14:textId="13AF1DB1" w:rsidR="007E04E9" w:rsidRPr="00D911AE" w:rsidRDefault="00260103" w:rsidP="00D911AE">
            <w:pPr>
              <w:jc w:val="right"/>
              <w:rPr>
                <w:b/>
                <w:sz w:val="24"/>
                <w:szCs w:val="24"/>
              </w:rPr>
            </w:pPr>
            <w:r w:rsidRPr="00D911AE">
              <w:rPr>
                <w:b/>
                <w:sz w:val="24"/>
                <w:szCs w:val="24"/>
              </w:rPr>
              <w:t>0.90</w:t>
            </w:r>
          </w:p>
        </w:tc>
        <w:tc>
          <w:tcPr>
            <w:tcW w:w="1076" w:type="dxa"/>
            <w:vAlign w:val="center"/>
          </w:tcPr>
          <w:p w14:paraId="2546A86E" w14:textId="77777777" w:rsidR="007E04E9" w:rsidRPr="00D911AE" w:rsidRDefault="007E04E9" w:rsidP="00D911AE">
            <w:pPr>
              <w:jc w:val="right"/>
              <w:rPr>
                <w:sz w:val="24"/>
                <w:szCs w:val="24"/>
              </w:rPr>
            </w:pPr>
          </w:p>
        </w:tc>
      </w:tr>
      <w:tr w:rsidR="00953EFB" w:rsidRPr="00D911AE" w14:paraId="3AFF9CAC" w14:textId="77777777" w:rsidTr="00D911AE">
        <w:tc>
          <w:tcPr>
            <w:tcW w:w="3652" w:type="dxa"/>
          </w:tcPr>
          <w:p w14:paraId="086F600B" w14:textId="77777777" w:rsidR="007E04E9" w:rsidRDefault="007E04E9" w:rsidP="007E04E9">
            <w:pPr>
              <w:rPr>
                <w:sz w:val="24"/>
                <w:szCs w:val="24"/>
              </w:rPr>
            </w:pPr>
            <w:r w:rsidRPr="00D911AE">
              <w:rPr>
                <w:sz w:val="24"/>
                <w:szCs w:val="24"/>
              </w:rPr>
              <w:t>Energy efficiency</w:t>
            </w:r>
          </w:p>
          <w:p w14:paraId="134A11CC" w14:textId="24AE5AAE" w:rsidR="00D911AE" w:rsidRPr="00D911AE" w:rsidRDefault="00D911AE" w:rsidP="007E04E9">
            <w:pPr>
              <w:rPr>
                <w:sz w:val="24"/>
                <w:szCs w:val="24"/>
              </w:rPr>
            </w:pPr>
            <w:r>
              <w:rPr>
                <w:sz w:val="24"/>
                <w:szCs w:val="24"/>
              </w:rPr>
              <w:t>(</w:t>
            </w:r>
            <w:r w:rsidRPr="006A1BAA">
              <w:rPr>
                <w:sz w:val="24"/>
                <w:szCs w:val="24"/>
                <w:highlight w:val="lightGray"/>
              </w:rPr>
              <w:t>Reduced expenditure</w:t>
            </w:r>
            <w:r>
              <w:rPr>
                <w:sz w:val="24"/>
                <w:szCs w:val="24"/>
              </w:rPr>
              <w:t>)</w:t>
            </w:r>
          </w:p>
        </w:tc>
        <w:tc>
          <w:tcPr>
            <w:tcW w:w="1134" w:type="dxa"/>
            <w:vAlign w:val="center"/>
          </w:tcPr>
          <w:p w14:paraId="1B9983BF" w14:textId="77777777" w:rsidR="007E04E9" w:rsidRPr="00D911AE" w:rsidRDefault="007E04E9" w:rsidP="00D911AE">
            <w:pPr>
              <w:jc w:val="right"/>
              <w:rPr>
                <w:sz w:val="24"/>
                <w:szCs w:val="24"/>
              </w:rPr>
            </w:pPr>
          </w:p>
        </w:tc>
        <w:tc>
          <w:tcPr>
            <w:tcW w:w="1134" w:type="dxa"/>
            <w:vAlign w:val="center"/>
          </w:tcPr>
          <w:p w14:paraId="6B5FF88C" w14:textId="6E47D29F" w:rsidR="007E04E9" w:rsidRPr="00D911AE" w:rsidRDefault="00260103" w:rsidP="00D911AE">
            <w:pPr>
              <w:jc w:val="right"/>
              <w:rPr>
                <w:sz w:val="24"/>
                <w:szCs w:val="24"/>
              </w:rPr>
            </w:pPr>
            <w:r w:rsidRPr="00D911AE">
              <w:rPr>
                <w:sz w:val="24"/>
                <w:szCs w:val="24"/>
              </w:rPr>
              <w:t>0.11</w:t>
            </w:r>
          </w:p>
        </w:tc>
        <w:tc>
          <w:tcPr>
            <w:tcW w:w="1134" w:type="dxa"/>
            <w:vAlign w:val="center"/>
          </w:tcPr>
          <w:p w14:paraId="5BCEFB9C" w14:textId="2C87C573" w:rsidR="007E04E9" w:rsidRPr="00D911AE" w:rsidRDefault="00260103" w:rsidP="00D911AE">
            <w:pPr>
              <w:jc w:val="right"/>
              <w:rPr>
                <w:sz w:val="24"/>
                <w:szCs w:val="24"/>
              </w:rPr>
            </w:pPr>
            <w:r w:rsidRPr="00D911AE">
              <w:rPr>
                <w:sz w:val="24"/>
                <w:szCs w:val="24"/>
              </w:rPr>
              <w:t>0.01</w:t>
            </w:r>
          </w:p>
        </w:tc>
        <w:tc>
          <w:tcPr>
            <w:tcW w:w="1134" w:type="dxa"/>
            <w:vAlign w:val="center"/>
          </w:tcPr>
          <w:p w14:paraId="2E97671D" w14:textId="243CD1F2" w:rsidR="007E04E9" w:rsidRPr="00D911AE" w:rsidRDefault="00260103" w:rsidP="00D911AE">
            <w:pPr>
              <w:jc w:val="right"/>
              <w:rPr>
                <w:sz w:val="24"/>
                <w:szCs w:val="24"/>
              </w:rPr>
            </w:pPr>
            <w:r w:rsidRPr="00D911AE">
              <w:rPr>
                <w:sz w:val="24"/>
                <w:szCs w:val="24"/>
              </w:rPr>
              <w:t>0.02</w:t>
            </w:r>
          </w:p>
        </w:tc>
        <w:tc>
          <w:tcPr>
            <w:tcW w:w="1418" w:type="dxa"/>
            <w:vAlign w:val="center"/>
          </w:tcPr>
          <w:p w14:paraId="015B9C67" w14:textId="4012C4CD" w:rsidR="007E04E9" w:rsidRPr="00D911AE" w:rsidRDefault="00260103" w:rsidP="00D911AE">
            <w:pPr>
              <w:jc w:val="right"/>
              <w:rPr>
                <w:b/>
                <w:sz w:val="24"/>
                <w:szCs w:val="24"/>
              </w:rPr>
            </w:pPr>
            <w:r w:rsidRPr="00D911AE">
              <w:rPr>
                <w:b/>
                <w:sz w:val="24"/>
                <w:szCs w:val="24"/>
              </w:rPr>
              <w:t>0.13</w:t>
            </w:r>
          </w:p>
        </w:tc>
        <w:tc>
          <w:tcPr>
            <w:tcW w:w="1076" w:type="dxa"/>
            <w:vAlign w:val="center"/>
          </w:tcPr>
          <w:p w14:paraId="328BDF3B" w14:textId="77777777" w:rsidR="007E04E9" w:rsidRPr="00D911AE" w:rsidRDefault="007E04E9" w:rsidP="00D911AE">
            <w:pPr>
              <w:jc w:val="right"/>
              <w:rPr>
                <w:sz w:val="24"/>
                <w:szCs w:val="24"/>
              </w:rPr>
            </w:pPr>
          </w:p>
        </w:tc>
      </w:tr>
      <w:tr w:rsidR="00953EFB" w:rsidRPr="00D911AE" w14:paraId="053A87B9" w14:textId="77777777" w:rsidTr="00D911AE">
        <w:tc>
          <w:tcPr>
            <w:tcW w:w="3652" w:type="dxa"/>
          </w:tcPr>
          <w:p w14:paraId="4FD9977B" w14:textId="77777777" w:rsidR="007E04E9" w:rsidRDefault="007E04E9" w:rsidP="007E04E9">
            <w:pPr>
              <w:rPr>
                <w:sz w:val="24"/>
                <w:szCs w:val="24"/>
              </w:rPr>
            </w:pPr>
            <w:r w:rsidRPr="00D911AE">
              <w:rPr>
                <w:sz w:val="24"/>
                <w:szCs w:val="24"/>
              </w:rPr>
              <w:t>New income</w:t>
            </w:r>
          </w:p>
          <w:p w14:paraId="7B2A4756" w14:textId="6FB2544D" w:rsidR="00D911AE" w:rsidRPr="00D911AE" w:rsidRDefault="00D911AE" w:rsidP="007E04E9">
            <w:pPr>
              <w:rPr>
                <w:sz w:val="24"/>
                <w:szCs w:val="24"/>
              </w:rPr>
            </w:pPr>
            <w:r>
              <w:rPr>
                <w:sz w:val="24"/>
                <w:szCs w:val="24"/>
              </w:rPr>
              <w:t>(</w:t>
            </w:r>
            <w:r w:rsidRPr="006A1BAA">
              <w:rPr>
                <w:sz w:val="24"/>
                <w:szCs w:val="24"/>
                <w:highlight w:val="lightGray"/>
              </w:rPr>
              <w:t>Additional income</w:t>
            </w:r>
            <w:r>
              <w:rPr>
                <w:sz w:val="24"/>
                <w:szCs w:val="24"/>
              </w:rPr>
              <w:t>)</w:t>
            </w:r>
          </w:p>
        </w:tc>
        <w:tc>
          <w:tcPr>
            <w:tcW w:w="1134" w:type="dxa"/>
            <w:vAlign w:val="center"/>
          </w:tcPr>
          <w:p w14:paraId="1FFFB677" w14:textId="77777777" w:rsidR="007E04E9" w:rsidRPr="00D911AE" w:rsidRDefault="007E04E9" w:rsidP="00D911AE">
            <w:pPr>
              <w:jc w:val="right"/>
              <w:rPr>
                <w:sz w:val="24"/>
                <w:szCs w:val="24"/>
              </w:rPr>
            </w:pPr>
          </w:p>
        </w:tc>
        <w:tc>
          <w:tcPr>
            <w:tcW w:w="1134" w:type="dxa"/>
            <w:vAlign w:val="center"/>
          </w:tcPr>
          <w:p w14:paraId="3007AF66" w14:textId="77777777" w:rsidR="007E04E9" w:rsidRPr="00D911AE" w:rsidRDefault="007E04E9" w:rsidP="00D911AE">
            <w:pPr>
              <w:jc w:val="right"/>
              <w:rPr>
                <w:sz w:val="24"/>
                <w:szCs w:val="24"/>
              </w:rPr>
            </w:pPr>
          </w:p>
        </w:tc>
        <w:tc>
          <w:tcPr>
            <w:tcW w:w="1134" w:type="dxa"/>
            <w:vAlign w:val="center"/>
          </w:tcPr>
          <w:p w14:paraId="31E0B06D" w14:textId="77777777" w:rsidR="007E04E9" w:rsidRPr="00D911AE" w:rsidRDefault="007E04E9" w:rsidP="00D911AE">
            <w:pPr>
              <w:jc w:val="right"/>
              <w:rPr>
                <w:sz w:val="24"/>
                <w:szCs w:val="24"/>
              </w:rPr>
            </w:pPr>
          </w:p>
        </w:tc>
        <w:tc>
          <w:tcPr>
            <w:tcW w:w="1134" w:type="dxa"/>
            <w:vAlign w:val="center"/>
          </w:tcPr>
          <w:p w14:paraId="13DD0D4F" w14:textId="4C4EF6E6" w:rsidR="007E04E9" w:rsidRPr="00D911AE" w:rsidRDefault="00260103" w:rsidP="00D911AE">
            <w:pPr>
              <w:jc w:val="right"/>
              <w:rPr>
                <w:sz w:val="24"/>
                <w:szCs w:val="24"/>
              </w:rPr>
            </w:pPr>
            <w:r w:rsidRPr="00D911AE">
              <w:rPr>
                <w:sz w:val="24"/>
                <w:szCs w:val="24"/>
              </w:rPr>
              <w:t>0.20</w:t>
            </w:r>
          </w:p>
        </w:tc>
        <w:tc>
          <w:tcPr>
            <w:tcW w:w="1418" w:type="dxa"/>
            <w:vAlign w:val="center"/>
          </w:tcPr>
          <w:p w14:paraId="22543CA9" w14:textId="2B14BA7A" w:rsidR="007E04E9" w:rsidRPr="00D911AE" w:rsidRDefault="00260103" w:rsidP="00D911AE">
            <w:pPr>
              <w:jc w:val="right"/>
              <w:rPr>
                <w:b/>
                <w:sz w:val="24"/>
                <w:szCs w:val="24"/>
              </w:rPr>
            </w:pPr>
            <w:r w:rsidRPr="00D911AE">
              <w:rPr>
                <w:b/>
                <w:sz w:val="24"/>
                <w:szCs w:val="24"/>
              </w:rPr>
              <w:t>0.20</w:t>
            </w:r>
          </w:p>
        </w:tc>
        <w:tc>
          <w:tcPr>
            <w:tcW w:w="1076" w:type="dxa"/>
            <w:vAlign w:val="center"/>
          </w:tcPr>
          <w:p w14:paraId="14A7D246" w14:textId="75C7F6F5" w:rsidR="007E04E9" w:rsidRPr="00D911AE" w:rsidRDefault="00260103" w:rsidP="00D911AE">
            <w:pPr>
              <w:jc w:val="right"/>
              <w:rPr>
                <w:sz w:val="24"/>
                <w:szCs w:val="24"/>
              </w:rPr>
            </w:pPr>
            <w:r w:rsidRPr="00D911AE">
              <w:rPr>
                <w:sz w:val="24"/>
                <w:szCs w:val="24"/>
              </w:rPr>
              <w:t>5.5</w:t>
            </w:r>
          </w:p>
        </w:tc>
      </w:tr>
      <w:tr w:rsidR="00953EFB" w14:paraId="5B327F44" w14:textId="77777777" w:rsidTr="00953EFB">
        <w:tc>
          <w:tcPr>
            <w:tcW w:w="3652" w:type="dxa"/>
          </w:tcPr>
          <w:p w14:paraId="317571D7" w14:textId="1D425B0A" w:rsidR="007E04E9" w:rsidRPr="00D911AE" w:rsidRDefault="00953EFB" w:rsidP="007E04E9">
            <w:pPr>
              <w:rPr>
                <w:b/>
                <w:sz w:val="24"/>
                <w:szCs w:val="24"/>
              </w:rPr>
            </w:pPr>
            <w:r w:rsidRPr="00D911AE">
              <w:rPr>
                <w:b/>
                <w:sz w:val="24"/>
                <w:szCs w:val="24"/>
              </w:rPr>
              <w:t>TOTAL</w:t>
            </w:r>
            <w:r w:rsidR="007E04E9" w:rsidRPr="00D911AE">
              <w:rPr>
                <w:b/>
                <w:sz w:val="24"/>
                <w:szCs w:val="24"/>
              </w:rPr>
              <w:t xml:space="preserve"> (£m)</w:t>
            </w:r>
          </w:p>
        </w:tc>
        <w:tc>
          <w:tcPr>
            <w:tcW w:w="1134" w:type="dxa"/>
          </w:tcPr>
          <w:p w14:paraId="019D1056" w14:textId="6C44A376" w:rsidR="007E04E9" w:rsidRPr="00D911AE" w:rsidRDefault="00260103" w:rsidP="00953EFB">
            <w:pPr>
              <w:jc w:val="right"/>
              <w:rPr>
                <w:b/>
                <w:sz w:val="24"/>
                <w:szCs w:val="24"/>
              </w:rPr>
            </w:pPr>
            <w:r w:rsidRPr="00D911AE">
              <w:rPr>
                <w:b/>
                <w:sz w:val="24"/>
                <w:szCs w:val="24"/>
              </w:rPr>
              <w:t>1.</w:t>
            </w:r>
            <w:r w:rsidR="00953EFB" w:rsidRPr="00D911AE">
              <w:rPr>
                <w:b/>
                <w:sz w:val="24"/>
                <w:szCs w:val="24"/>
              </w:rPr>
              <w:t>2</w:t>
            </w:r>
            <w:r w:rsidRPr="00D911AE">
              <w:rPr>
                <w:b/>
                <w:sz w:val="24"/>
                <w:szCs w:val="24"/>
              </w:rPr>
              <w:t>7</w:t>
            </w:r>
          </w:p>
        </w:tc>
        <w:tc>
          <w:tcPr>
            <w:tcW w:w="1134" w:type="dxa"/>
          </w:tcPr>
          <w:p w14:paraId="018874CF" w14:textId="409D82EE" w:rsidR="007E04E9" w:rsidRPr="00D911AE" w:rsidRDefault="00260103" w:rsidP="00260103">
            <w:pPr>
              <w:jc w:val="right"/>
              <w:rPr>
                <w:b/>
                <w:sz w:val="24"/>
                <w:szCs w:val="24"/>
              </w:rPr>
            </w:pPr>
            <w:r w:rsidRPr="00D911AE">
              <w:rPr>
                <w:b/>
                <w:sz w:val="24"/>
                <w:szCs w:val="24"/>
              </w:rPr>
              <w:t>1.25</w:t>
            </w:r>
          </w:p>
        </w:tc>
        <w:tc>
          <w:tcPr>
            <w:tcW w:w="1134" w:type="dxa"/>
          </w:tcPr>
          <w:p w14:paraId="6AF5DA34" w14:textId="00C27F62" w:rsidR="007E04E9" w:rsidRPr="00D911AE" w:rsidRDefault="00260103" w:rsidP="00260103">
            <w:pPr>
              <w:jc w:val="right"/>
              <w:rPr>
                <w:b/>
                <w:sz w:val="24"/>
                <w:szCs w:val="24"/>
              </w:rPr>
            </w:pPr>
            <w:r w:rsidRPr="00D911AE">
              <w:rPr>
                <w:b/>
                <w:sz w:val="24"/>
                <w:szCs w:val="24"/>
              </w:rPr>
              <w:t>0.76</w:t>
            </w:r>
          </w:p>
        </w:tc>
        <w:tc>
          <w:tcPr>
            <w:tcW w:w="1134" w:type="dxa"/>
          </w:tcPr>
          <w:p w14:paraId="74C0DA49" w14:textId="606A87F5" w:rsidR="007E04E9" w:rsidRPr="00D911AE" w:rsidRDefault="00260103" w:rsidP="00260103">
            <w:pPr>
              <w:jc w:val="right"/>
              <w:rPr>
                <w:b/>
                <w:sz w:val="24"/>
                <w:szCs w:val="24"/>
              </w:rPr>
            </w:pPr>
            <w:r w:rsidRPr="00D911AE">
              <w:rPr>
                <w:b/>
                <w:sz w:val="24"/>
                <w:szCs w:val="24"/>
              </w:rPr>
              <w:t>0.9</w:t>
            </w:r>
            <w:r w:rsidR="00953EFB" w:rsidRPr="00D911AE">
              <w:rPr>
                <w:b/>
                <w:sz w:val="24"/>
                <w:szCs w:val="24"/>
              </w:rPr>
              <w:t>9</w:t>
            </w:r>
          </w:p>
        </w:tc>
        <w:tc>
          <w:tcPr>
            <w:tcW w:w="1418" w:type="dxa"/>
          </w:tcPr>
          <w:p w14:paraId="25830880" w14:textId="5542912B" w:rsidR="007E04E9" w:rsidRPr="00D911AE" w:rsidRDefault="00260103" w:rsidP="00260103">
            <w:pPr>
              <w:jc w:val="right"/>
              <w:rPr>
                <w:b/>
                <w:sz w:val="24"/>
                <w:szCs w:val="24"/>
              </w:rPr>
            </w:pPr>
            <w:r w:rsidRPr="00D911AE">
              <w:rPr>
                <w:b/>
                <w:sz w:val="24"/>
                <w:szCs w:val="24"/>
              </w:rPr>
              <w:t>4.27</w:t>
            </w:r>
          </w:p>
        </w:tc>
        <w:tc>
          <w:tcPr>
            <w:tcW w:w="1076" w:type="dxa"/>
          </w:tcPr>
          <w:p w14:paraId="2EE9D238" w14:textId="316C591B" w:rsidR="007E04E9" w:rsidRPr="00260103" w:rsidRDefault="007E3844" w:rsidP="00260103">
            <w:pPr>
              <w:jc w:val="right"/>
              <w:rPr>
                <w:b/>
                <w:sz w:val="24"/>
                <w:szCs w:val="24"/>
              </w:rPr>
            </w:pPr>
            <w:r w:rsidRPr="00D911AE">
              <w:rPr>
                <w:b/>
                <w:sz w:val="24"/>
                <w:szCs w:val="24"/>
              </w:rPr>
              <w:t>9.77</w:t>
            </w:r>
          </w:p>
        </w:tc>
      </w:tr>
    </w:tbl>
    <w:p w14:paraId="6936F7FF" w14:textId="761F5BB2" w:rsidR="0007412C" w:rsidRDefault="0007412C">
      <w:pPr>
        <w:spacing w:after="200" w:line="276" w:lineRule="auto"/>
        <w:rPr>
          <w:sz w:val="24"/>
          <w:szCs w:val="24"/>
        </w:rPr>
      </w:pPr>
    </w:p>
    <w:p w14:paraId="718C6829" w14:textId="77777777" w:rsidR="00D911AE" w:rsidRPr="00ED677D" w:rsidRDefault="00D911AE">
      <w:pPr>
        <w:spacing w:after="200" w:line="276" w:lineRule="auto"/>
        <w:rPr>
          <w:sz w:val="24"/>
          <w:szCs w:val="24"/>
        </w:rPr>
      </w:pPr>
    </w:p>
    <w:p w14:paraId="4E8E4B87" w14:textId="77777777" w:rsidR="00953EFB" w:rsidRDefault="00953EFB">
      <w:pPr>
        <w:spacing w:after="200" w:line="276" w:lineRule="auto"/>
        <w:rPr>
          <w:b/>
          <w:sz w:val="24"/>
          <w:szCs w:val="24"/>
        </w:rPr>
      </w:pPr>
      <w:r>
        <w:rPr>
          <w:b/>
          <w:sz w:val="24"/>
          <w:szCs w:val="24"/>
        </w:rPr>
        <w:br w:type="page"/>
      </w:r>
    </w:p>
    <w:p w14:paraId="55A48C62" w14:textId="4345244C" w:rsidR="005F311C" w:rsidRPr="00081594" w:rsidRDefault="00081594" w:rsidP="005F311C">
      <w:pPr>
        <w:rPr>
          <w:b/>
          <w:sz w:val="24"/>
          <w:szCs w:val="24"/>
        </w:rPr>
      </w:pPr>
      <w:r>
        <w:rPr>
          <w:b/>
          <w:sz w:val="24"/>
          <w:szCs w:val="24"/>
        </w:rPr>
        <w:lastRenderedPageBreak/>
        <w:t>4.5</w:t>
      </w:r>
      <w:r>
        <w:rPr>
          <w:b/>
          <w:sz w:val="24"/>
          <w:szCs w:val="24"/>
        </w:rPr>
        <w:tab/>
        <w:t>S</w:t>
      </w:r>
      <w:r w:rsidRPr="00081594">
        <w:rPr>
          <w:b/>
          <w:sz w:val="24"/>
          <w:szCs w:val="24"/>
        </w:rPr>
        <w:t>upplementary documents</w:t>
      </w:r>
    </w:p>
    <w:p w14:paraId="723F0555" w14:textId="77777777" w:rsidR="0007412C" w:rsidRDefault="0007412C" w:rsidP="0007412C">
      <w:pPr>
        <w:rPr>
          <w:highlight w:val="yellow"/>
        </w:rPr>
      </w:pPr>
    </w:p>
    <w:p w14:paraId="2C99EE0C" w14:textId="5F49B7B7" w:rsidR="0007412C" w:rsidRDefault="0007412C" w:rsidP="0007412C">
      <w:r w:rsidRPr="006312DC">
        <w:t>T</w:t>
      </w:r>
      <w:r w:rsidR="006312DC" w:rsidRPr="006312DC">
        <w:t>he following documents include strategies, operational resources, policies and reports that are part of or connected to the Strategic Asset Management Plan. Some of these documents are not published publicly for legal and /or commercial reasons.</w:t>
      </w:r>
    </w:p>
    <w:p w14:paraId="1EA72DD6" w14:textId="77777777" w:rsidR="005F311C" w:rsidRDefault="005F311C" w:rsidP="005F311C">
      <w:pPr>
        <w:pStyle w:val="ListParagraph"/>
        <w:ind w:left="1080"/>
      </w:pPr>
    </w:p>
    <w:p w14:paraId="36BB3A62" w14:textId="77777777" w:rsidR="0007412C" w:rsidRDefault="0007412C" w:rsidP="005F311C">
      <w:pPr>
        <w:pStyle w:val="ListParagraph"/>
        <w:ind w:left="1080"/>
      </w:pPr>
    </w:p>
    <w:p w14:paraId="32BC170E" w14:textId="77777777" w:rsidR="00963A6B" w:rsidRPr="00963A6B" w:rsidRDefault="00963A6B" w:rsidP="00963A6B">
      <w:pPr>
        <w:numPr>
          <w:ilvl w:val="0"/>
          <w:numId w:val="1"/>
        </w:numPr>
      </w:pPr>
      <w:r w:rsidRPr="00963A6B">
        <w:t xml:space="preserve">Asset Register </w:t>
      </w:r>
    </w:p>
    <w:p w14:paraId="74CD37AB" w14:textId="77777777" w:rsidR="00963A6B" w:rsidRPr="00963A6B" w:rsidRDefault="00963A6B" w:rsidP="00963A6B">
      <w:pPr>
        <w:numPr>
          <w:ilvl w:val="0"/>
          <w:numId w:val="1"/>
        </w:numPr>
      </w:pPr>
      <w:r w:rsidRPr="00963A6B">
        <w:t>Asset Optimisation Schedule</w:t>
      </w:r>
    </w:p>
    <w:p w14:paraId="7FDD952D" w14:textId="0221EAD2" w:rsidR="00963A6B" w:rsidRPr="00963A6B" w:rsidRDefault="00963A6B" w:rsidP="00963A6B">
      <w:pPr>
        <w:numPr>
          <w:ilvl w:val="0"/>
          <w:numId w:val="1"/>
        </w:numPr>
      </w:pPr>
      <w:r w:rsidRPr="00963A6B">
        <w:t>Corporate Asset Services Annual Business Report</w:t>
      </w:r>
      <w:r w:rsidR="00B8491C">
        <w:t xml:space="preserve"> 2013/14</w:t>
      </w:r>
    </w:p>
    <w:p w14:paraId="72B0DB80" w14:textId="77777777" w:rsidR="00963A6B" w:rsidRPr="00963A6B" w:rsidRDefault="00963A6B" w:rsidP="00963A6B">
      <w:pPr>
        <w:numPr>
          <w:ilvl w:val="0"/>
          <w:numId w:val="1"/>
        </w:numPr>
      </w:pPr>
      <w:r w:rsidRPr="00963A6B">
        <w:t>Corporate Asset Services Business Continuity Plan</w:t>
      </w:r>
    </w:p>
    <w:p w14:paraId="05E1BCF5" w14:textId="77777777" w:rsidR="00963A6B" w:rsidRPr="00963A6B" w:rsidRDefault="00963A6B" w:rsidP="00963A6B">
      <w:pPr>
        <w:numPr>
          <w:ilvl w:val="0"/>
          <w:numId w:val="1"/>
        </w:numPr>
      </w:pPr>
      <w:r w:rsidRPr="00963A6B">
        <w:t>Data Management Handbook</w:t>
      </w:r>
    </w:p>
    <w:p w14:paraId="401AB56E" w14:textId="77777777" w:rsidR="00963A6B" w:rsidRPr="00963A6B" w:rsidRDefault="00963A6B" w:rsidP="00963A6B">
      <w:pPr>
        <w:numPr>
          <w:ilvl w:val="0"/>
          <w:numId w:val="1"/>
        </w:numPr>
      </w:pPr>
      <w:r w:rsidRPr="00963A6B">
        <w:t>Energy Monitoring and Targeting report 2013/14</w:t>
      </w:r>
    </w:p>
    <w:p w14:paraId="5BAF202A" w14:textId="77777777" w:rsidR="00963A6B" w:rsidRPr="00963A6B" w:rsidRDefault="00963A6B" w:rsidP="00963A6B">
      <w:pPr>
        <w:numPr>
          <w:ilvl w:val="0"/>
          <w:numId w:val="1"/>
        </w:numPr>
      </w:pPr>
      <w:r w:rsidRPr="00963A6B">
        <w:t>Energy Policy</w:t>
      </w:r>
    </w:p>
    <w:p w14:paraId="6871D7FA" w14:textId="77777777" w:rsidR="00963A6B" w:rsidRDefault="00963A6B" w:rsidP="00963A6B">
      <w:pPr>
        <w:numPr>
          <w:ilvl w:val="0"/>
          <w:numId w:val="1"/>
        </w:numPr>
      </w:pPr>
      <w:r w:rsidRPr="00963A6B">
        <w:t>Flood Alleviation Strategy</w:t>
      </w:r>
    </w:p>
    <w:p w14:paraId="10218405" w14:textId="07B00246" w:rsidR="00210DAD" w:rsidRPr="00963A6B" w:rsidRDefault="00210DAD" w:rsidP="00963A6B">
      <w:pPr>
        <w:numPr>
          <w:ilvl w:val="0"/>
          <w:numId w:val="1"/>
        </w:numPr>
      </w:pPr>
      <w:r>
        <w:t>Highways Asset Management Plan</w:t>
      </w:r>
    </w:p>
    <w:p w14:paraId="56E1E6F1" w14:textId="660DF176" w:rsidR="005B1E5E" w:rsidRDefault="005B1E5E" w:rsidP="00963A6B">
      <w:pPr>
        <w:numPr>
          <w:ilvl w:val="0"/>
          <w:numId w:val="1"/>
        </w:numPr>
      </w:pPr>
      <w:r>
        <w:t>Lewisham Compact</w:t>
      </w:r>
      <w:r w:rsidR="00897F7D">
        <w:t xml:space="preserve"> with the community and voluntary sector</w:t>
      </w:r>
      <w:bookmarkStart w:id="1" w:name="_GoBack"/>
      <w:bookmarkEnd w:id="1"/>
    </w:p>
    <w:p w14:paraId="72778129" w14:textId="77777777" w:rsidR="00963A6B" w:rsidRPr="00963A6B" w:rsidRDefault="00963A6B" w:rsidP="00963A6B">
      <w:pPr>
        <w:numPr>
          <w:ilvl w:val="0"/>
          <w:numId w:val="1"/>
        </w:numPr>
      </w:pPr>
      <w:r w:rsidRPr="00963A6B">
        <w:t>Maintenance of assets and premises audit report 2012/13</w:t>
      </w:r>
    </w:p>
    <w:p w14:paraId="7B7577B9" w14:textId="0D4183CC" w:rsidR="00C14D52" w:rsidRDefault="00C14D52" w:rsidP="00963A6B">
      <w:pPr>
        <w:numPr>
          <w:ilvl w:val="0"/>
          <w:numId w:val="1"/>
        </w:numPr>
      </w:pPr>
      <w:r>
        <w:t>Regeneration and Asset Management Risk Register</w:t>
      </w:r>
    </w:p>
    <w:p w14:paraId="6DA2FEF3" w14:textId="77777777" w:rsidR="00963A6B" w:rsidRPr="00963A6B" w:rsidRDefault="00963A6B" w:rsidP="00963A6B">
      <w:pPr>
        <w:numPr>
          <w:ilvl w:val="0"/>
          <w:numId w:val="1"/>
        </w:numPr>
      </w:pPr>
      <w:r w:rsidRPr="00963A6B">
        <w:t>Regulatory Risks Policy</w:t>
      </w:r>
    </w:p>
    <w:p w14:paraId="3459895A" w14:textId="77777777" w:rsidR="00963A6B" w:rsidRDefault="00963A6B" w:rsidP="00963A6B">
      <w:pPr>
        <w:numPr>
          <w:ilvl w:val="0"/>
          <w:numId w:val="1"/>
        </w:numPr>
      </w:pPr>
      <w:r w:rsidRPr="00963A6B">
        <w:t xml:space="preserve">Third sector protocol </w:t>
      </w:r>
    </w:p>
    <w:p w14:paraId="306702EC" w14:textId="63816746" w:rsidR="00A82DBB" w:rsidRPr="00963A6B" w:rsidRDefault="00A82DBB" w:rsidP="00A82DBB">
      <w:pPr>
        <w:numPr>
          <w:ilvl w:val="0"/>
          <w:numId w:val="1"/>
        </w:numPr>
      </w:pPr>
      <w:r w:rsidRPr="00963A6B">
        <w:t>Use of Resources Statement 2013/14</w:t>
      </w:r>
    </w:p>
    <w:p w14:paraId="45C60103" w14:textId="77777777" w:rsidR="00963A6B" w:rsidRDefault="00963A6B" w:rsidP="00963A6B"/>
    <w:p w14:paraId="0C73AA4F" w14:textId="77777777" w:rsidR="00F662FE" w:rsidRPr="005B724A" w:rsidRDefault="00F662FE" w:rsidP="000A5E7A">
      <w:pPr>
        <w:rPr>
          <w:b/>
          <w:sz w:val="28"/>
          <w:szCs w:val="28"/>
        </w:rPr>
      </w:pPr>
    </w:p>
    <w:sectPr w:rsidR="00F662FE" w:rsidRPr="005B724A" w:rsidSect="00B16DB0">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09E5" w14:textId="77777777" w:rsidR="00640D2D" w:rsidRDefault="00640D2D" w:rsidP="00940844">
      <w:r>
        <w:separator/>
      </w:r>
    </w:p>
  </w:endnote>
  <w:endnote w:type="continuationSeparator" w:id="0">
    <w:p w14:paraId="6314EBCF" w14:textId="77777777" w:rsidR="00640D2D" w:rsidRDefault="00640D2D" w:rsidP="0094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951638"/>
      <w:docPartObj>
        <w:docPartGallery w:val="Page Numbers (Bottom of Page)"/>
        <w:docPartUnique/>
      </w:docPartObj>
    </w:sdtPr>
    <w:sdtEndPr>
      <w:rPr>
        <w:noProof/>
      </w:rPr>
    </w:sdtEndPr>
    <w:sdtContent>
      <w:p w14:paraId="751B9447" w14:textId="2DC72BE7" w:rsidR="00640D2D" w:rsidRDefault="00640D2D">
        <w:pPr>
          <w:pStyle w:val="Footer"/>
          <w:jc w:val="right"/>
        </w:pPr>
        <w:r>
          <w:fldChar w:fldCharType="begin"/>
        </w:r>
        <w:r>
          <w:instrText xml:space="preserve"> PAGE   \* MERGEFORMAT </w:instrText>
        </w:r>
        <w:r>
          <w:fldChar w:fldCharType="separate"/>
        </w:r>
        <w:r w:rsidR="00897F7D">
          <w:rPr>
            <w:noProof/>
          </w:rPr>
          <w:t>40</w:t>
        </w:r>
        <w:r>
          <w:rPr>
            <w:noProof/>
          </w:rPr>
          <w:fldChar w:fldCharType="end"/>
        </w:r>
      </w:p>
    </w:sdtContent>
  </w:sdt>
  <w:p w14:paraId="2BC97682" w14:textId="77777777" w:rsidR="00640D2D" w:rsidRDefault="0064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7A1D" w14:textId="77777777" w:rsidR="00640D2D" w:rsidRDefault="00640D2D" w:rsidP="00940844">
      <w:r>
        <w:separator/>
      </w:r>
    </w:p>
  </w:footnote>
  <w:footnote w:type="continuationSeparator" w:id="0">
    <w:p w14:paraId="285E627E" w14:textId="77777777" w:rsidR="00640D2D" w:rsidRDefault="00640D2D" w:rsidP="00940844">
      <w:r>
        <w:continuationSeparator/>
      </w:r>
    </w:p>
  </w:footnote>
  <w:footnote w:id="1">
    <w:p w14:paraId="067722AD" w14:textId="4E887B2E" w:rsidR="00B53F27" w:rsidRDefault="00B53F27">
      <w:pPr>
        <w:pStyle w:val="FootnoteText"/>
      </w:pPr>
      <w:r>
        <w:rPr>
          <w:rStyle w:val="FootnoteReference"/>
        </w:rPr>
        <w:footnoteRef/>
      </w:r>
      <w:r>
        <w:t xml:space="preserve"> Lewisham Statement of Accounts 2013/14 ‘Movements in non-current assets’ excludes dwellings, vehicles, plant and equipment</w:t>
      </w:r>
    </w:p>
  </w:footnote>
  <w:footnote w:id="2">
    <w:p w14:paraId="1F802007" w14:textId="7AB29AF5" w:rsidR="00B53F27" w:rsidRDefault="00B53F27">
      <w:pPr>
        <w:pStyle w:val="FootnoteText"/>
      </w:pPr>
      <w:r>
        <w:rPr>
          <w:rStyle w:val="FootnoteReference"/>
        </w:rPr>
        <w:footnoteRef/>
      </w:r>
      <w:r>
        <w:t xml:space="preserve"> </w:t>
      </w:r>
      <w:r w:rsidRPr="00B53F27">
        <w:t>Lewisham Statement of Accounts 2013/14 ‘Movements in non-current assets’ excludes dwellings, vehicles, plant and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B4269" w14:textId="5B6C631C" w:rsidR="00640D2D" w:rsidRDefault="0064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515"/>
    <w:multiLevelType w:val="hybridMultilevel"/>
    <w:tmpl w:val="D974C338"/>
    <w:lvl w:ilvl="0" w:tplc="DFCAF1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C711C7"/>
    <w:multiLevelType w:val="hybridMultilevel"/>
    <w:tmpl w:val="54AE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19419B"/>
    <w:multiLevelType w:val="hybridMultilevel"/>
    <w:tmpl w:val="4E54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CE7515"/>
    <w:multiLevelType w:val="hybridMultilevel"/>
    <w:tmpl w:val="764E1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D3AFD"/>
    <w:multiLevelType w:val="hybridMultilevel"/>
    <w:tmpl w:val="94FC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BA458B"/>
    <w:multiLevelType w:val="hybridMultilevel"/>
    <w:tmpl w:val="58BC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F24C8"/>
    <w:multiLevelType w:val="hybridMultilevel"/>
    <w:tmpl w:val="7C38F4B6"/>
    <w:lvl w:ilvl="0" w:tplc="887221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90408"/>
    <w:multiLevelType w:val="hybridMultilevel"/>
    <w:tmpl w:val="B2445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7C5531"/>
    <w:multiLevelType w:val="hybridMultilevel"/>
    <w:tmpl w:val="265C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724CCA"/>
    <w:multiLevelType w:val="hybridMultilevel"/>
    <w:tmpl w:val="5DC24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6655E6"/>
    <w:multiLevelType w:val="hybridMultilevel"/>
    <w:tmpl w:val="5EB4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54A7A"/>
    <w:multiLevelType w:val="hybridMultilevel"/>
    <w:tmpl w:val="DDBABE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F0823E8"/>
    <w:multiLevelType w:val="hybridMultilevel"/>
    <w:tmpl w:val="52923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3">
    <w:nsid w:val="20870416"/>
    <w:multiLevelType w:val="hybridMultilevel"/>
    <w:tmpl w:val="E72C1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1AF7D3A"/>
    <w:multiLevelType w:val="hybridMultilevel"/>
    <w:tmpl w:val="D74C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9D0C21"/>
    <w:multiLevelType w:val="hybridMultilevel"/>
    <w:tmpl w:val="E2544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6">
    <w:nsid w:val="255B4F4E"/>
    <w:multiLevelType w:val="hybridMultilevel"/>
    <w:tmpl w:val="39C6D74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5B96F1A"/>
    <w:multiLevelType w:val="hybridMultilevel"/>
    <w:tmpl w:val="D404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A1818"/>
    <w:multiLevelType w:val="hybridMultilevel"/>
    <w:tmpl w:val="2806B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6EA1290"/>
    <w:multiLevelType w:val="hybridMultilevel"/>
    <w:tmpl w:val="9D287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87552F3"/>
    <w:multiLevelType w:val="hybridMultilevel"/>
    <w:tmpl w:val="E0A013E0"/>
    <w:lvl w:ilvl="0" w:tplc="DFCAF1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CA1468D"/>
    <w:multiLevelType w:val="hybridMultilevel"/>
    <w:tmpl w:val="EC9237B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0EC7B5C"/>
    <w:multiLevelType w:val="hybridMultilevel"/>
    <w:tmpl w:val="A4C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BC07B7"/>
    <w:multiLevelType w:val="hybridMultilevel"/>
    <w:tmpl w:val="4DFA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46D7D48"/>
    <w:multiLevelType w:val="hybridMultilevel"/>
    <w:tmpl w:val="D932F8C4"/>
    <w:lvl w:ilvl="0" w:tplc="1F8C9796">
      <w:start w:val="1"/>
      <w:numFmt w:val="lowerRoman"/>
      <w:lvlText w:val="(%1)"/>
      <w:lvlJc w:val="left"/>
      <w:pPr>
        <w:tabs>
          <w:tab w:val="num" w:pos="720"/>
        </w:tabs>
        <w:ind w:left="720" w:hanging="72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5">
    <w:nsid w:val="35F70AEC"/>
    <w:multiLevelType w:val="hybridMultilevel"/>
    <w:tmpl w:val="45681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6E102BA"/>
    <w:multiLevelType w:val="hybridMultilevel"/>
    <w:tmpl w:val="AC1648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930C12"/>
    <w:multiLevelType w:val="hybridMultilevel"/>
    <w:tmpl w:val="5C56B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D37273B"/>
    <w:multiLevelType w:val="hybridMultilevel"/>
    <w:tmpl w:val="782C9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D7731B4"/>
    <w:multiLevelType w:val="hybridMultilevel"/>
    <w:tmpl w:val="F88CD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D791C26"/>
    <w:multiLevelType w:val="hybridMultilevel"/>
    <w:tmpl w:val="3512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D607C2"/>
    <w:multiLevelType w:val="hybridMultilevel"/>
    <w:tmpl w:val="7B805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CC61D5"/>
    <w:multiLevelType w:val="hybridMultilevel"/>
    <w:tmpl w:val="7C08E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522767B"/>
    <w:multiLevelType w:val="hybridMultilevel"/>
    <w:tmpl w:val="553E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9C3E1A"/>
    <w:multiLevelType w:val="hybridMultilevel"/>
    <w:tmpl w:val="3242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6E095D"/>
    <w:multiLevelType w:val="hybridMultilevel"/>
    <w:tmpl w:val="C2DE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9D94493"/>
    <w:multiLevelType w:val="hybridMultilevel"/>
    <w:tmpl w:val="D774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DA62EB8"/>
    <w:multiLevelType w:val="hybridMultilevel"/>
    <w:tmpl w:val="FF1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4E17A6"/>
    <w:multiLevelType w:val="hybridMultilevel"/>
    <w:tmpl w:val="C77A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2C92C9F"/>
    <w:multiLevelType w:val="hybridMultilevel"/>
    <w:tmpl w:val="1AF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5F583D"/>
    <w:multiLevelType w:val="hybridMultilevel"/>
    <w:tmpl w:val="B586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916DB1"/>
    <w:multiLevelType w:val="hybridMultilevel"/>
    <w:tmpl w:val="D5D86E34"/>
    <w:lvl w:ilvl="0" w:tplc="887221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BE0CFB"/>
    <w:multiLevelType w:val="hybridMultilevel"/>
    <w:tmpl w:val="766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9C505C"/>
    <w:multiLevelType w:val="hybridMultilevel"/>
    <w:tmpl w:val="1FDA4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F644130"/>
    <w:multiLevelType w:val="hybridMultilevel"/>
    <w:tmpl w:val="0FD6D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nsid w:val="605C7B68"/>
    <w:multiLevelType w:val="hybridMultilevel"/>
    <w:tmpl w:val="30C68D32"/>
    <w:lvl w:ilvl="0" w:tplc="8904D2D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9462EE"/>
    <w:multiLevelType w:val="hybridMultilevel"/>
    <w:tmpl w:val="065AF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22D26AB"/>
    <w:multiLevelType w:val="hybridMultilevel"/>
    <w:tmpl w:val="B26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F02031"/>
    <w:multiLevelType w:val="hybridMultilevel"/>
    <w:tmpl w:val="71FEB5B8"/>
    <w:lvl w:ilvl="0" w:tplc="887221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FAB3A63"/>
    <w:multiLevelType w:val="hybridMultilevel"/>
    <w:tmpl w:val="4E706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1B751E8"/>
    <w:multiLevelType w:val="hybridMultilevel"/>
    <w:tmpl w:val="015A5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53721BE"/>
    <w:multiLevelType w:val="hybridMultilevel"/>
    <w:tmpl w:val="52EEE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2">
    <w:nsid w:val="75C26B3B"/>
    <w:multiLevelType w:val="hybridMultilevel"/>
    <w:tmpl w:val="F578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1D73CE"/>
    <w:multiLevelType w:val="hybridMultilevel"/>
    <w:tmpl w:val="F13AE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317D0D"/>
    <w:multiLevelType w:val="hybridMultilevel"/>
    <w:tmpl w:val="6750DFAC"/>
    <w:lvl w:ilvl="0" w:tplc="DFCAF1A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C6B7047"/>
    <w:multiLevelType w:val="hybridMultilevel"/>
    <w:tmpl w:val="6DA0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CAC1939"/>
    <w:multiLevelType w:val="hybridMultilevel"/>
    <w:tmpl w:val="9EF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262213"/>
    <w:multiLevelType w:val="hybridMultilevel"/>
    <w:tmpl w:val="C804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86024C"/>
    <w:multiLevelType w:val="hybridMultilevel"/>
    <w:tmpl w:val="9FE0CFCC"/>
    <w:lvl w:ilvl="0" w:tplc="8904D2DA">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9">
    <w:nsid w:val="7F9D7D5A"/>
    <w:multiLevelType w:val="hybridMultilevel"/>
    <w:tmpl w:val="74C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3"/>
  </w:num>
  <w:num w:numId="3">
    <w:abstractNumId w:val="59"/>
  </w:num>
  <w:num w:numId="4">
    <w:abstractNumId w:val="18"/>
  </w:num>
  <w:num w:numId="5">
    <w:abstractNumId w:val="23"/>
  </w:num>
  <w:num w:numId="6">
    <w:abstractNumId w:val="5"/>
  </w:num>
  <w:num w:numId="7">
    <w:abstractNumId w:val="47"/>
  </w:num>
  <w:num w:numId="8">
    <w:abstractNumId w:val="34"/>
  </w:num>
  <w:num w:numId="9">
    <w:abstractNumId w:val="28"/>
  </w:num>
  <w:num w:numId="10">
    <w:abstractNumId w:val="49"/>
  </w:num>
  <w:num w:numId="11">
    <w:abstractNumId w:val="46"/>
  </w:num>
  <w:num w:numId="12">
    <w:abstractNumId w:val="38"/>
  </w:num>
  <w:num w:numId="13">
    <w:abstractNumId w:val="30"/>
  </w:num>
  <w:num w:numId="14">
    <w:abstractNumId w:val="50"/>
  </w:num>
  <w:num w:numId="15">
    <w:abstractNumId w:val="15"/>
  </w:num>
  <w:num w:numId="16">
    <w:abstractNumId w:val="12"/>
  </w:num>
  <w:num w:numId="17">
    <w:abstractNumId w:val="22"/>
  </w:num>
  <w:num w:numId="18">
    <w:abstractNumId w:val="48"/>
  </w:num>
  <w:num w:numId="19">
    <w:abstractNumId w:val="6"/>
  </w:num>
  <w:num w:numId="20">
    <w:abstractNumId w:val="41"/>
  </w:num>
  <w:num w:numId="21">
    <w:abstractNumId w:val="51"/>
  </w:num>
  <w:num w:numId="22">
    <w:abstractNumId w:val="32"/>
  </w:num>
  <w:num w:numId="23">
    <w:abstractNumId w:val="55"/>
  </w:num>
  <w:num w:numId="24">
    <w:abstractNumId w:val="27"/>
  </w:num>
  <w:num w:numId="25">
    <w:abstractNumId w:val="14"/>
  </w:num>
  <w:num w:numId="26">
    <w:abstractNumId w:val="3"/>
  </w:num>
  <w:num w:numId="27">
    <w:abstractNumId w:val="19"/>
  </w:num>
  <w:num w:numId="28">
    <w:abstractNumId w:val="7"/>
  </w:num>
  <w:num w:numId="29">
    <w:abstractNumId w:val="9"/>
  </w:num>
  <w:num w:numId="30">
    <w:abstractNumId w:val="35"/>
  </w:num>
  <w:num w:numId="31">
    <w:abstractNumId w:val="29"/>
  </w:num>
  <w:num w:numId="32">
    <w:abstractNumId w:val="4"/>
  </w:num>
  <w:num w:numId="33">
    <w:abstractNumId w:val="25"/>
  </w:num>
  <w:num w:numId="34">
    <w:abstractNumId w:val="45"/>
  </w:num>
  <w:num w:numId="35">
    <w:abstractNumId w:val="33"/>
  </w:num>
  <w:num w:numId="36">
    <w:abstractNumId w:val="17"/>
  </w:num>
  <w:num w:numId="37">
    <w:abstractNumId w:val="39"/>
  </w:num>
  <w:num w:numId="38">
    <w:abstractNumId w:val="8"/>
  </w:num>
  <w:num w:numId="39">
    <w:abstractNumId w:val="0"/>
  </w:num>
  <w:num w:numId="40">
    <w:abstractNumId w:val="20"/>
  </w:num>
  <w:num w:numId="41">
    <w:abstractNumId w:val="54"/>
  </w:num>
  <w:num w:numId="42">
    <w:abstractNumId w:val="2"/>
  </w:num>
  <w:num w:numId="43">
    <w:abstractNumId w:val="57"/>
  </w:num>
  <w:num w:numId="44">
    <w:abstractNumId w:val="5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31"/>
  </w:num>
  <w:num w:numId="52">
    <w:abstractNumId w:val="43"/>
  </w:num>
  <w:num w:numId="53">
    <w:abstractNumId w:val="1"/>
  </w:num>
  <w:num w:numId="54">
    <w:abstractNumId w:val="44"/>
  </w:num>
  <w:num w:numId="55">
    <w:abstractNumId w:val="37"/>
  </w:num>
  <w:num w:numId="56">
    <w:abstractNumId w:val="40"/>
  </w:num>
  <w:num w:numId="57">
    <w:abstractNumId w:val="56"/>
  </w:num>
  <w:num w:numId="58">
    <w:abstractNumId w:val="42"/>
  </w:num>
  <w:num w:numId="59">
    <w:abstractNumId w:val="52"/>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55"/>
    <w:rsid w:val="00000103"/>
    <w:rsid w:val="000035B7"/>
    <w:rsid w:val="00004887"/>
    <w:rsid w:val="00016836"/>
    <w:rsid w:val="00016CBB"/>
    <w:rsid w:val="00016D85"/>
    <w:rsid w:val="00022A00"/>
    <w:rsid w:val="00025489"/>
    <w:rsid w:val="00027684"/>
    <w:rsid w:val="0003487C"/>
    <w:rsid w:val="0004799D"/>
    <w:rsid w:val="0005048D"/>
    <w:rsid w:val="000551A3"/>
    <w:rsid w:val="00057B1F"/>
    <w:rsid w:val="000629CD"/>
    <w:rsid w:val="0007412C"/>
    <w:rsid w:val="00076E3B"/>
    <w:rsid w:val="00081594"/>
    <w:rsid w:val="000834B6"/>
    <w:rsid w:val="00085276"/>
    <w:rsid w:val="000A5E7A"/>
    <w:rsid w:val="000B688E"/>
    <w:rsid w:val="000C220C"/>
    <w:rsid w:val="000C2712"/>
    <w:rsid w:val="000C420B"/>
    <w:rsid w:val="000C5F85"/>
    <w:rsid w:val="000D6828"/>
    <w:rsid w:val="000E36AB"/>
    <w:rsid w:val="000E6773"/>
    <w:rsid w:val="000E6FFD"/>
    <w:rsid w:val="000E7B04"/>
    <w:rsid w:val="000F30CE"/>
    <w:rsid w:val="000F4ECF"/>
    <w:rsid w:val="000F64C3"/>
    <w:rsid w:val="000F780C"/>
    <w:rsid w:val="001022DF"/>
    <w:rsid w:val="0012094A"/>
    <w:rsid w:val="00122F96"/>
    <w:rsid w:val="00123D2E"/>
    <w:rsid w:val="00132398"/>
    <w:rsid w:val="0014384B"/>
    <w:rsid w:val="00146C41"/>
    <w:rsid w:val="001552BC"/>
    <w:rsid w:val="00160C74"/>
    <w:rsid w:val="00166953"/>
    <w:rsid w:val="00167069"/>
    <w:rsid w:val="001675B8"/>
    <w:rsid w:val="001727BB"/>
    <w:rsid w:val="00183B93"/>
    <w:rsid w:val="0019294D"/>
    <w:rsid w:val="00197D2F"/>
    <w:rsid w:val="001A2560"/>
    <w:rsid w:val="001A2F14"/>
    <w:rsid w:val="001A3FCE"/>
    <w:rsid w:val="001A62BF"/>
    <w:rsid w:val="001B11D8"/>
    <w:rsid w:val="001B28AB"/>
    <w:rsid w:val="001B417C"/>
    <w:rsid w:val="001C5E02"/>
    <w:rsid w:val="001D0B60"/>
    <w:rsid w:val="001D527C"/>
    <w:rsid w:val="001D703F"/>
    <w:rsid w:val="001E094F"/>
    <w:rsid w:val="001F4C5B"/>
    <w:rsid w:val="0020232F"/>
    <w:rsid w:val="00210DAD"/>
    <w:rsid w:val="002133ED"/>
    <w:rsid w:val="00213C9D"/>
    <w:rsid w:val="0022119D"/>
    <w:rsid w:val="0023638E"/>
    <w:rsid w:val="00253875"/>
    <w:rsid w:val="00260103"/>
    <w:rsid w:val="0026121F"/>
    <w:rsid w:val="00267392"/>
    <w:rsid w:val="00281F98"/>
    <w:rsid w:val="002870AE"/>
    <w:rsid w:val="002933D3"/>
    <w:rsid w:val="00297499"/>
    <w:rsid w:val="002A50EC"/>
    <w:rsid w:val="002A5453"/>
    <w:rsid w:val="002B07FD"/>
    <w:rsid w:val="002B14E6"/>
    <w:rsid w:val="002B3D01"/>
    <w:rsid w:val="002C119A"/>
    <w:rsid w:val="002C693E"/>
    <w:rsid w:val="002D0E07"/>
    <w:rsid w:val="002D6D5D"/>
    <w:rsid w:val="002E2068"/>
    <w:rsid w:val="002E4DA0"/>
    <w:rsid w:val="002F2DD1"/>
    <w:rsid w:val="002F7B4C"/>
    <w:rsid w:val="00301D5C"/>
    <w:rsid w:val="003065AB"/>
    <w:rsid w:val="0031123E"/>
    <w:rsid w:val="00313FB9"/>
    <w:rsid w:val="00321457"/>
    <w:rsid w:val="00325D9A"/>
    <w:rsid w:val="00327699"/>
    <w:rsid w:val="00334F57"/>
    <w:rsid w:val="00346324"/>
    <w:rsid w:val="0035064C"/>
    <w:rsid w:val="00352C9F"/>
    <w:rsid w:val="003550C3"/>
    <w:rsid w:val="00361F98"/>
    <w:rsid w:val="00364571"/>
    <w:rsid w:val="0036604E"/>
    <w:rsid w:val="003718C9"/>
    <w:rsid w:val="00374BDC"/>
    <w:rsid w:val="00377AA2"/>
    <w:rsid w:val="0038084E"/>
    <w:rsid w:val="00386D5A"/>
    <w:rsid w:val="00396D9D"/>
    <w:rsid w:val="003A2982"/>
    <w:rsid w:val="003A2A0D"/>
    <w:rsid w:val="003A5181"/>
    <w:rsid w:val="003C11D0"/>
    <w:rsid w:val="003C43FE"/>
    <w:rsid w:val="003D17AA"/>
    <w:rsid w:val="003D3179"/>
    <w:rsid w:val="003D3AB9"/>
    <w:rsid w:val="003D6898"/>
    <w:rsid w:val="003E64FA"/>
    <w:rsid w:val="003F0795"/>
    <w:rsid w:val="004005D2"/>
    <w:rsid w:val="004019B8"/>
    <w:rsid w:val="004029DC"/>
    <w:rsid w:val="00414B08"/>
    <w:rsid w:val="00417402"/>
    <w:rsid w:val="00426089"/>
    <w:rsid w:val="0043179A"/>
    <w:rsid w:val="00431EA1"/>
    <w:rsid w:val="00435FE6"/>
    <w:rsid w:val="00436446"/>
    <w:rsid w:val="004503DD"/>
    <w:rsid w:val="0045383E"/>
    <w:rsid w:val="004546FE"/>
    <w:rsid w:val="004651DC"/>
    <w:rsid w:val="00470E00"/>
    <w:rsid w:val="00474019"/>
    <w:rsid w:val="00481223"/>
    <w:rsid w:val="004843C1"/>
    <w:rsid w:val="00490D97"/>
    <w:rsid w:val="004A0AAC"/>
    <w:rsid w:val="004A2509"/>
    <w:rsid w:val="004A2C91"/>
    <w:rsid w:val="004A7F22"/>
    <w:rsid w:val="004B0D76"/>
    <w:rsid w:val="004B2C85"/>
    <w:rsid w:val="004E37AB"/>
    <w:rsid w:val="004E512B"/>
    <w:rsid w:val="004E791A"/>
    <w:rsid w:val="004F38F8"/>
    <w:rsid w:val="004F3D60"/>
    <w:rsid w:val="004F4C81"/>
    <w:rsid w:val="005056A6"/>
    <w:rsid w:val="00510E93"/>
    <w:rsid w:val="00511677"/>
    <w:rsid w:val="0052107A"/>
    <w:rsid w:val="00521732"/>
    <w:rsid w:val="00530FA2"/>
    <w:rsid w:val="0053101C"/>
    <w:rsid w:val="005551F6"/>
    <w:rsid w:val="00555728"/>
    <w:rsid w:val="00556F61"/>
    <w:rsid w:val="0057733C"/>
    <w:rsid w:val="00583E7B"/>
    <w:rsid w:val="005938F3"/>
    <w:rsid w:val="00596F70"/>
    <w:rsid w:val="00597CD1"/>
    <w:rsid w:val="005A4A0B"/>
    <w:rsid w:val="005A6FA9"/>
    <w:rsid w:val="005B1E5E"/>
    <w:rsid w:val="005B724A"/>
    <w:rsid w:val="005C3A29"/>
    <w:rsid w:val="005C4DEB"/>
    <w:rsid w:val="005C6FA7"/>
    <w:rsid w:val="005D439C"/>
    <w:rsid w:val="005D685C"/>
    <w:rsid w:val="005E4266"/>
    <w:rsid w:val="005E4888"/>
    <w:rsid w:val="005F285A"/>
    <w:rsid w:val="005F311C"/>
    <w:rsid w:val="005F4036"/>
    <w:rsid w:val="005F43BB"/>
    <w:rsid w:val="00601F5D"/>
    <w:rsid w:val="006061D0"/>
    <w:rsid w:val="00607E5F"/>
    <w:rsid w:val="0062710E"/>
    <w:rsid w:val="00627850"/>
    <w:rsid w:val="006312DC"/>
    <w:rsid w:val="00634D4F"/>
    <w:rsid w:val="00640D2D"/>
    <w:rsid w:val="00641E67"/>
    <w:rsid w:val="0065116A"/>
    <w:rsid w:val="00655AAB"/>
    <w:rsid w:val="0066196D"/>
    <w:rsid w:val="00664689"/>
    <w:rsid w:val="006718A6"/>
    <w:rsid w:val="00690673"/>
    <w:rsid w:val="006A1BAA"/>
    <w:rsid w:val="006A1FDC"/>
    <w:rsid w:val="006B0849"/>
    <w:rsid w:val="006B716F"/>
    <w:rsid w:val="006C1220"/>
    <w:rsid w:val="006E0B90"/>
    <w:rsid w:val="006E4BB9"/>
    <w:rsid w:val="006E56E3"/>
    <w:rsid w:val="006F3343"/>
    <w:rsid w:val="006F33C9"/>
    <w:rsid w:val="007033EC"/>
    <w:rsid w:val="007165C4"/>
    <w:rsid w:val="007209F1"/>
    <w:rsid w:val="00727CCA"/>
    <w:rsid w:val="00755796"/>
    <w:rsid w:val="00763896"/>
    <w:rsid w:val="0077735F"/>
    <w:rsid w:val="00780996"/>
    <w:rsid w:val="00782EE3"/>
    <w:rsid w:val="00784980"/>
    <w:rsid w:val="007875A0"/>
    <w:rsid w:val="0079036A"/>
    <w:rsid w:val="007A45D8"/>
    <w:rsid w:val="007B49E4"/>
    <w:rsid w:val="007C1985"/>
    <w:rsid w:val="007D0641"/>
    <w:rsid w:val="007D4A16"/>
    <w:rsid w:val="007E04E9"/>
    <w:rsid w:val="007E3844"/>
    <w:rsid w:val="007E4B7A"/>
    <w:rsid w:val="007E4FAB"/>
    <w:rsid w:val="007E6243"/>
    <w:rsid w:val="007F22EE"/>
    <w:rsid w:val="007F3B37"/>
    <w:rsid w:val="007F4E71"/>
    <w:rsid w:val="007F53BD"/>
    <w:rsid w:val="007F778E"/>
    <w:rsid w:val="008002C2"/>
    <w:rsid w:val="00802732"/>
    <w:rsid w:val="008040B5"/>
    <w:rsid w:val="00810322"/>
    <w:rsid w:val="00812B9D"/>
    <w:rsid w:val="00822204"/>
    <w:rsid w:val="008274A8"/>
    <w:rsid w:val="008445B4"/>
    <w:rsid w:val="008454FE"/>
    <w:rsid w:val="00845C7E"/>
    <w:rsid w:val="00851A0C"/>
    <w:rsid w:val="00856253"/>
    <w:rsid w:val="00865E21"/>
    <w:rsid w:val="0086732B"/>
    <w:rsid w:val="00874C49"/>
    <w:rsid w:val="008836C9"/>
    <w:rsid w:val="00890CF5"/>
    <w:rsid w:val="00897B1F"/>
    <w:rsid w:val="00897F7D"/>
    <w:rsid w:val="008A26DA"/>
    <w:rsid w:val="008A2AB5"/>
    <w:rsid w:val="008A543A"/>
    <w:rsid w:val="008C45E0"/>
    <w:rsid w:val="008C693F"/>
    <w:rsid w:val="008C7EDD"/>
    <w:rsid w:val="008E62F5"/>
    <w:rsid w:val="008F5437"/>
    <w:rsid w:val="008F7355"/>
    <w:rsid w:val="00902EB3"/>
    <w:rsid w:val="00904C29"/>
    <w:rsid w:val="00907C48"/>
    <w:rsid w:val="009130D1"/>
    <w:rsid w:val="00940844"/>
    <w:rsid w:val="00951314"/>
    <w:rsid w:val="00951AA5"/>
    <w:rsid w:val="00953EFB"/>
    <w:rsid w:val="0095627C"/>
    <w:rsid w:val="00963A6B"/>
    <w:rsid w:val="00963D43"/>
    <w:rsid w:val="0096427E"/>
    <w:rsid w:val="0096518D"/>
    <w:rsid w:val="00970CB0"/>
    <w:rsid w:val="00976250"/>
    <w:rsid w:val="00980AA8"/>
    <w:rsid w:val="00980C9E"/>
    <w:rsid w:val="00982E01"/>
    <w:rsid w:val="009862B0"/>
    <w:rsid w:val="00994379"/>
    <w:rsid w:val="009964C7"/>
    <w:rsid w:val="009A745D"/>
    <w:rsid w:val="009B1970"/>
    <w:rsid w:val="009B4A86"/>
    <w:rsid w:val="009B683C"/>
    <w:rsid w:val="009C3966"/>
    <w:rsid w:val="009E0E3B"/>
    <w:rsid w:val="009F1900"/>
    <w:rsid w:val="009F5118"/>
    <w:rsid w:val="00A00768"/>
    <w:rsid w:val="00A008EB"/>
    <w:rsid w:val="00A02601"/>
    <w:rsid w:val="00A11469"/>
    <w:rsid w:val="00A15A81"/>
    <w:rsid w:val="00A17FE8"/>
    <w:rsid w:val="00A23BA3"/>
    <w:rsid w:val="00A249E0"/>
    <w:rsid w:val="00A37DE5"/>
    <w:rsid w:val="00A422B0"/>
    <w:rsid w:val="00A652BD"/>
    <w:rsid w:val="00A82DBB"/>
    <w:rsid w:val="00A851D4"/>
    <w:rsid w:val="00A86C94"/>
    <w:rsid w:val="00A91DEF"/>
    <w:rsid w:val="00AA01A4"/>
    <w:rsid w:val="00AB07D1"/>
    <w:rsid w:val="00AB455B"/>
    <w:rsid w:val="00AB6F7B"/>
    <w:rsid w:val="00AC41E3"/>
    <w:rsid w:val="00AC6F27"/>
    <w:rsid w:val="00AD2A7D"/>
    <w:rsid w:val="00AD79AC"/>
    <w:rsid w:val="00AE0DC5"/>
    <w:rsid w:val="00AF264B"/>
    <w:rsid w:val="00AF5BE2"/>
    <w:rsid w:val="00B031E8"/>
    <w:rsid w:val="00B140EA"/>
    <w:rsid w:val="00B16DB0"/>
    <w:rsid w:val="00B20193"/>
    <w:rsid w:val="00B21C4A"/>
    <w:rsid w:val="00B22163"/>
    <w:rsid w:val="00B24BCB"/>
    <w:rsid w:val="00B33CBA"/>
    <w:rsid w:val="00B36BC6"/>
    <w:rsid w:val="00B44D9D"/>
    <w:rsid w:val="00B529AE"/>
    <w:rsid w:val="00B53F27"/>
    <w:rsid w:val="00B54F75"/>
    <w:rsid w:val="00B75F68"/>
    <w:rsid w:val="00B80818"/>
    <w:rsid w:val="00B82F85"/>
    <w:rsid w:val="00B8491C"/>
    <w:rsid w:val="00B875B1"/>
    <w:rsid w:val="00B90E04"/>
    <w:rsid w:val="00B92D19"/>
    <w:rsid w:val="00B94F17"/>
    <w:rsid w:val="00BA2546"/>
    <w:rsid w:val="00BA5D60"/>
    <w:rsid w:val="00BA7AF2"/>
    <w:rsid w:val="00BB203B"/>
    <w:rsid w:val="00BB752C"/>
    <w:rsid w:val="00BC3E86"/>
    <w:rsid w:val="00BC45DD"/>
    <w:rsid w:val="00BC5A03"/>
    <w:rsid w:val="00BC61D9"/>
    <w:rsid w:val="00BD3FD4"/>
    <w:rsid w:val="00BE3A35"/>
    <w:rsid w:val="00BF3432"/>
    <w:rsid w:val="00C032E3"/>
    <w:rsid w:val="00C1048E"/>
    <w:rsid w:val="00C14D52"/>
    <w:rsid w:val="00C207D8"/>
    <w:rsid w:val="00C21DDD"/>
    <w:rsid w:val="00C4502F"/>
    <w:rsid w:val="00C56615"/>
    <w:rsid w:val="00C6135A"/>
    <w:rsid w:val="00C64A75"/>
    <w:rsid w:val="00C6534E"/>
    <w:rsid w:val="00C66643"/>
    <w:rsid w:val="00C67B06"/>
    <w:rsid w:val="00C72380"/>
    <w:rsid w:val="00C74EA8"/>
    <w:rsid w:val="00C804EC"/>
    <w:rsid w:val="00C807D6"/>
    <w:rsid w:val="00C867E5"/>
    <w:rsid w:val="00C868E3"/>
    <w:rsid w:val="00C933F7"/>
    <w:rsid w:val="00C955A8"/>
    <w:rsid w:val="00CA1C31"/>
    <w:rsid w:val="00CA4278"/>
    <w:rsid w:val="00CA58BB"/>
    <w:rsid w:val="00CA7209"/>
    <w:rsid w:val="00CA726B"/>
    <w:rsid w:val="00CB2F28"/>
    <w:rsid w:val="00CB4217"/>
    <w:rsid w:val="00CB5BC4"/>
    <w:rsid w:val="00CB64A4"/>
    <w:rsid w:val="00CC26B5"/>
    <w:rsid w:val="00CD179D"/>
    <w:rsid w:val="00CD2ADE"/>
    <w:rsid w:val="00CD656F"/>
    <w:rsid w:val="00CD6EBB"/>
    <w:rsid w:val="00CF5694"/>
    <w:rsid w:val="00D03364"/>
    <w:rsid w:val="00D07A18"/>
    <w:rsid w:val="00D1103B"/>
    <w:rsid w:val="00D278F3"/>
    <w:rsid w:val="00D300C2"/>
    <w:rsid w:val="00D3349A"/>
    <w:rsid w:val="00D37D48"/>
    <w:rsid w:val="00D43251"/>
    <w:rsid w:val="00D43275"/>
    <w:rsid w:val="00D54913"/>
    <w:rsid w:val="00D55E4E"/>
    <w:rsid w:val="00D60CF2"/>
    <w:rsid w:val="00D66065"/>
    <w:rsid w:val="00D745E7"/>
    <w:rsid w:val="00D911AE"/>
    <w:rsid w:val="00D91DA0"/>
    <w:rsid w:val="00D942F1"/>
    <w:rsid w:val="00D95D6A"/>
    <w:rsid w:val="00DA2800"/>
    <w:rsid w:val="00DB637E"/>
    <w:rsid w:val="00DC771A"/>
    <w:rsid w:val="00DD2249"/>
    <w:rsid w:val="00DE2923"/>
    <w:rsid w:val="00DF50FE"/>
    <w:rsid w:val="00DF5976"/>
    <w:rsid w:val="00DF5FCF"/>
    <w:rsid w:val="00DF7872"/>
    <w:rsid w:val="00E06354"/>
    <w:rsid w:val="00E0717B"/>
    <w:rsid w:val="00E13042"/>
    <w:rsid w:val="00E1348C"/>
    <w:rsid w:val="00E1431D"/>
    <w:rsid w:val="00E231F9"/>
    <w:rsid w:val="00E30AEF"/>
    <w:rsid w:val="00E34D6A"/>
    <w:rsid w:val="00E3616C"/>
    <w:rsid w:val="00E36C31"/>
    <w:rsid w:val="00E37B19"/>
    <w:rsid w:val="00E43CDC"/>
    <w:rsid w:val="00E442FA"/>
    <w:rsid w:val="00E47CF1"/>
    <w:rsid w:val="00E523DD"/>
    <w:rsid w:val="00E61491"/>
    <w:rsid w:val="00E6233E"/>
    <w:rsid w:val="00E64D15"/>
    <w:rsid w:val="00E7052D"/>
    <w:rsid w:val="00E70D77"/>
    <w:rsid w:val="00E72906"/>
    <w:rsid w:val="00E752BA"/>
    <w:rsid w:val="00E7597A"/>
    <w:rsid w:val="00E87616"/>
    <w:rsid w:val="00EA085B"/>
    <w:rsid w:val="00EA4AFF"/>
    <w:rsid w:val="00EA5206"/>
    <w:rsid w:val="00EA6D20"/>
    <w:rsid w:val="00EA7737"/>
    <w:rsid w:val="00EB4861"/>
    <w:rsid w:val="00EB5628"/>
    <w:rsid w:val="00ED1C52"/>
    <w:rsid w:val="00ED4711"/>
    <w:rsid w:val="00ED677D"/>
    <w:rsid w:val="00ED68DF"/>
    <w:rsid w:val="00EE1A36"/>
    <w:rsid w:val="00EE56C2"/>
    <w:rsid w:val="00EF44DF"/>
    <w:rsid w:val="00F071EC"/>
    <w:rsid w:val="00F1453A"/>
    <w:rsid w:val="00F15400"/>
    <w:rsid w:val="00F314C7"/>
    <w:rsid w:val="00F3257F"/>
    <w:rsid w:val="00F34B72"/>
    <w:rsid w:val="00F37062"/>
    <w:rsid w:val="00F45125"/>
    <w:rsid w:val="00F52ECD"/>
    <w:rsid w:val="00F57149"/>
    <w:rsid w:val="00F61474"/>
    <w:rsid w:val="00F64817"/>
    <w:rsid w:val="00F662FE"/>
    <w:rsid w:val="00F66477"/>
    <w:rsid w:val="00F706F3"/>
    <w:rsid w:val="00F710EB"/>
    <w:rsid w:val="00F90430"/>
    <w:rsid w:val="00F957D2"/>
    <w:rsid w:val="00FB06CB"/>
    <w:rsid w:val="00FB0EE0"/>
    <w:rsid w:val="00FC2A19"/>
    <w:rsid w:val="00FC54B1"/>
    <w:rsid w:val="00FC5B1F"/>
    <w:rsid w:val="00FD798E"/>
    <w:rsid w:val="00FE4218"/>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55"/>
    <w:pPr>
      <w:ind w:left="720"/>
    </w:pPr>
  </w:style>
  <w:style w:type="table" w:styleId="TableGrid">
    <w:name w:val="Table Grid"/>
    <w:basedOn w:val="TableNormal"/>
    <w:uiPriority w:val="59"/>
    <w:rsid w:val="0022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5E7A"/>
    <w:pPr>
      <w:tabs>
        <w:tab w:val="center" w:pos="4153"/>
        <w:tab w:val="right" w:pos="8306"/>
      </w:tabs>
    </w:pPr>
    <w:rPr>
      <w:rFonts w:ascii="Arial" w:eastAsia="Calibri" w:hAnsi="Arial" w:cs="Times New Roman"/>
      <w:sz w:val="24"/>
      <w:szCs w:val="20"/>
    </w:rPr>
  </w:style>
  <w:style w:type="character" w:customStyle="1" w:styleId="HeaderChar">
    <w:name w:val="Header Char"/>
    <w:basedOn w:val="DefaultParagraphFont"/>
    <w:link w:val="Header"/>
    <w:uiPriority w:val="99"/>
    <w:rsid w:val="000A5E7A"/>
    <w:rPr>
      <w:rFonts w:ascii="Arial" w:eastAsia="Calibri" w:hAnsi="Arial" w:cs="Times New Roman"/>
      <w:sz w:val="24"/>
      <w:szCs w:val="20"/>
    </w:rPr>
  </w:style>
  <w:style w:type="paragraph" w:styleId="EndnoteText">
    <w:name w:val="endnote text"/>
    <w:basedOn w:val="Normal"/>
    <w:link w:val="EndnoteTextChar"/>
    <w:semiHidden/>
    <w:rsid w:val="0094084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40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2398"/>
    <w:pPr>
      <w:tabs>
        <w:tab w:val="center" w:pos="4513"/>
        <w:tab w:val="right" w:pos="9026"/>
      </w:tabs>
    </w:pPr>
  </w:style>
  <w:style w:type="character" w:customStyle="1" w:styleId="FooterChar">
    <w:name w:val="Footer Char"/>
    <w:basedOn w:val="DefaultParagraphFont"/>
    <w:link w:val="Footer"/>
    <w:uiPriority w:val="99"/>
    <w:rsid w:val="00132398"/>
    <w:rPr>
      <w:rFonts w:ascii="Calibri" w:hAnsi="Calibri" w:cs="Calibri"/>
    </w:rPr>
  </w:style>
  <w:style w:type="paragraph" w:styleId="BalloonText">
    <w:name w:val="Balloon Text"/>
    <w:basedOn w:val="Normal"/>
    <w:link w:val="BalloonTextChar"/>
    <w:uiPriority w:val="99"/>
    <w:semiHidden/>
    <w:unhideWhenUsed/>
    <w:rsid w:val="00C21DDD"/>
    <w:rPr>
      <w:rFonts w:ascii="Tahoma" w:hAnsi="Tahoma" w:cs="Tahoma"/>
      <w:sz w:val="16"/>
      <w:szCs w:val="16"/>
    </w:rPr>
  </w:style>
  <w:style w:type="character" w:customStyle="1" w:styleId="BalloonTextChar">
    <w:name w:val="Balloon Text Char"/>
    <w:basedOn w:val="DefaultParagraphFont"/>
    <w:link w:val="BalloonText"/>
    <w:uiPriority w:val="99"/>
    <w:semiHidden/>
    <w:rsid w:val="00C21DDD"/>
    <w:rPr>
      <w:rFonts w:ascii="Tahoma" w:hAnsi="Tahoma" w:cs="Tahoma"/>
      <w:sz w:val="16"/>
      <w:szCs w:val="16"/>
    </w:rPr>
  </w:style>
  <w:style w:type="paragraph" w:customStyle="1" w:styleId="FPHeading1">
    <w:name w:val="FP Heading 1"/>
    <w:basedOn w:val="Normal"/>
    <w:rsid w:val="00CF5694"/>
    <w:pPr>
      <w:widowControl w:val="0"/>
      <w:pBdr>
        <w:bottom w:val="single" w:sz="4" w:space="5" w:color="auto"/>
      </w:pBdr>
      <w:spacing w:line="300" w:lineRule="exact"/>
      <w:ind w:left="680"/>
    </w:pPr>
    <w:rPr>
      <w:rFonts w:ascii="Arial" w:eastAsia="Times New Roman" w:hAnsi="Arial" w:cs="Times New Roman"/>
      <w:b/>
      <w:szCs w:val="20"/>
    </w:rPr>
  </w:style>
  <w:style w:type="paragraph" w:customStyle="1" w:styleId="FPHeading2">
    <w:name w:val="FP Heading 2"/>
    <w:basedOn w:val="Normal"/>
    <w:rsid w:val="00CF5694"/>
    <w:pPr>
      <w:widowControl w:val="0"/>
      <w:spacing w:line="680" w:lineRule="exact"/>
      <w:ind w:left="680"/>
    </w:pPr>
    <w:rPr>
      <w:rFonts w:ascii="Arial" w:eastAsia="Times New Roman" w:hAnsi="Arial" w:cs="Times New Roman"/>
      <w:b/>
      <w:sz w:val="60"/>
      <w:szCs w:val="20"/>
    </w:rPr>
  </w:style>
  <w:style w:type="paragraph" w:customStyle="1" w:styleId="FPHeading3">
    <w:name w:val="FP Heading 3"/>
    <w:basedOn w:val="Normal"/>
    <w:rsid w:val="00CF5694"/>
    <w:pPr>
      <w:widowControl w:val="0"/>
      <w:spacing w:after="1246" w:line="760" w:lineRule="exact"/>
      <w:ind w:left="680"/>
    </w:pPr>
    <w:rPr>
      <w:rFonts w:ascii="Arial" w:eastAsia="Times New Roman" w:hAnsi="Arial" w:cs="Times New Roman"/>
      <w:sz w:val="60"/>
      <w:szCs w:val="20"/>
    </w:rPr>
  </w:style>
  <w:style w:type="paragraph" w:customStyle="1" w:styleId="FPHeading5">
    <w:name w:val="FP Heading 5"/>
    <w:basedOn w:val="FPHeading1"/>
    <w:rsid w:val="00CF5694"/>
    <w:pPr>
      <w:spacing w:line="480" w:lineRule="exact"/>
    </w:pPr>
    <w:rPr>
      <w:b w:val="0"/>
      <w:sz w:val="40"/>
    </w:rPr>
  </w:style>
  <w:style w:type="paragraph" w:styleId="NoSpacing">
    <w:name w:val="No Spacing"/>
    <w:uiPriority w:val="99"/>
    <w:qFormat/>
    <w:rsid w:val="00F57149"/>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2A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27C"/>
    <w:rPr>
      <w:sz w:val="16"/>
      <w:szCs w:val="16"/>
    </w:rPr>
  </w:style>
  <w:style w:type="paragraph" w:styleId="CommentText">
    <w:name w:val="annotation text"/>
    <w:basedOn w:val="Normal"/>
    <w:link w:val="CommentTextChar"/>
    <w:uiPriority w:val="99"/>
    <w:semiHidden/>
    <w:unhideWhenUsed/>
    <w:rsid w:val="0095627C"/>
    <w:rPr>
      <w:sz w:val="20"/>
      <w:szCs w:val="20"/>
    </w:rPr>
  </w:style>
  <w:style w:type="character" w:customStyle="1" w:styleId="CommentTextChar">
    <w:name w:val="Comment Text Char"/>
    <w:basedOn w:val="DefaultParagraphFont"/>
    <w:link w:val="CommentText"/>
    <w:uiPriority w:val="99"/>
    <w:semiHidden/>
    <w:rsid w:val="0095627C"/>
    <w:rPr>
      <w:rFonts w:ascii="Calibri" w:hAnsi="Calibri" w:cs="Calibri"/>
      <w:sz w:val="20"/>
      <w:szCs w:val="20"/>
    </w:rPr>
  </w:style>
  <w:style w:type="character" w:styleId="Hyperlink">
    <w:name w:val="Hyperlink"/>
    <w:basedOn w:val="DefaultParagraphFont"/>
    <w:uiPriority w:val="99"/>
    <w:unhideWhenUsed/>
    <w:rsid w:val="0095627C"/>
    <w:rPr>
      <w:color w:val="0000FF" w:themeColor="hyperlink"/>
      <w:u w:val="single"/>
    </w:rPr>
  </w:style>
  <w:style w:type="table" w:customStyle="1" w:styleId="TableGrid2">
    <w:name w:val="Table Grid2"/>
    <w:basedOn w:val="TableNormal"/>
    <w:next w:val="TableGrid"/>
    <w:uiPriority w:val="59"/>
    <w:rsid w:val="001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3F27"/>
    <w:rPr>
      <w:sz w:val="20"/>
      <w:szCs w:val="20"/>
    </w:rPr>
  </w:style>
  <w:style w:type="character" w:customStyle="1" w:styleId="FootnoteTextChar">
    <w:name w:val="Footnote Text Char"/>
    <w:basedOn w:val="DefaultParagraphFont"/>
    <w:link w:val="FootnoteText"/>
    <w:uiPriority w:val="99"/>
    <w:semiHidden/>
    <w:rsid w:val="00B53F27"/>
    <w:rPr>
      <w:rFonts w:ascii="Calibri" w:hAnsi="Calibri" w:cs="Calibri"/>
      <w:sz w:val="20"/>
      <w:szCs w:val="20"/>
    </w:rPr>
  </w:style>
  <w:style w:type="character" w:styleId="FootnoteReference">
    <w:name w:val="footnote reference"/>
    <w:basedOn w:val="DefaultParagraphFont"/>
    <w:uiPriority w:val="99"/>
    <w:semiHidden/>
    <w:unhideWhenUsed/>
    <w:rsid w:val="00B53F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55"/>
    <w:pPr>
      <w:ind w:left="720"/>
    </w:pPr>
  </w:style>
  <w:style w:type="table" w:styleId="TableGrid">
    <w:name w:val="Table Grid"/>
    <w:basedOn w:val="TableNormal"/>
    <w:uiPriority w:val="59"/>
    <w:rsid w:val="0022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5E7A"/>
    <w:pPr>
      <w:tabs>
        <w:tab w:val="center" w:pos="4153"/>
        <w:tab w:val="right" w:pos="8306"/>
      </w:tabs>
    </w:pPr>
    <w:rPr>
      <w:rFonts w:ascii="Arial" w:eastAsia="Calibri" w:hAnsi="Arial" w:cs="Times New Roman"/>
      <w:sz w:val="24"/>
      <w:szCs w:val="20"/>
    </w:rPr>
  </w:style>
  <w:style w:type="character" w:customStyle="1" w:styleId="HeaderChar">
    <w:name w:val="Header Char"/>
    <w:basedOn w:val="DefaultParagraphFont"/>
    <w:link w:val="Header"/>
    <w:uiPriority w:val="99"/>
    <w:rsid w:val="000A5E7A"/>
    <w:rPr>
      <w:rFonts w:ascii="Arial" w:eastAsia="Calibri" w:hAnsi="Arial" w:cs="Times New Roman"/>
      <w:sz w:val="24"/>
      <w:szCs w:val="20"/>
    </w:rPr>
  </w:style>
  <w:style w:type="paragraph" w:styleId="EndnoteText">
    <w:name w:val="endnote text"/>
    <w:basedOn w:val="Normal"/>
    <w:link w:val="EndnoteTextChar"/>
    <w:semiHidden/>
    <w:rsid w:val="0094084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40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2398"/>
    <w:pPr>
      <w:tabs>
        <w:tab w:val="center" w:pos="4513"/>
        <w:tab w:val="right" w:pos="9026"/>
      </w:tabs>
    </w:pPr>
  </w:style>
  <w:style w:type="character" w:customStyle="1" w:styleId="FooterChar">
    <w:name w:val="Footer Char"/>
    <w:basedOn w:val="DefaultParagraphFont"/>
    <w:link w:val="Footer"/>
    <w:uiPriority w:val="99"/>
    <w:rsid w:val="00132398"/>
    <w:rPr>
      <w:rFonts w:ascii="Calibri" w:hAnsi="Calibri" w:cs="Calibri"/>
    </w:rPr>
  </w:style>
  <w:style w:type="paragraph" w:styleId="BalloonText">
    <w:name w:val="Balloon Text"/>
    <w:basedOn w:val="Normal"/>
    <w:link w:val="BalloonTextChar"/>
    <w:uiPriority w:val="99"/>
    <w:semiHidden/>
    <w:unhideWhenUsed/>
    <w:rsid w:val="00C21DDD"/>
    <w:rPr>
      <w:rFonts w:ascii="Tahoma" w:hAnsi="Tahoma" w:cs="Tahoma"/>
      <w:sz w:val="16"/>
      <w:szCs w:val="16"/>
    </w:rPr>
  </w:style>
  <w:style w:type="character" w:customStyle="1" w:styleId="BalloonTextChar">
    <w:name w:val="Balloon Text Char"/>
    <w:basedOn w:val="DefaultParagraphFont"/>
    <w:link w:val="BalloonText"/>
    <w:uiPriority w:val="99"/>
    <w:semiHidden/>
    <w:rsid w:val="00C21DDD"/>
    <w:rPr>
      <w:rFonts w:ascii="Tahoma" w:hAnsi="Tahoma" w:cs="Tahoma"/>
      <w:sz w:val="16"/>
      <w:szCs w:val="16"/>
    </w:rPr>
  </w:style>
  <w:style w:type="paragraph" w:customStyle="1" w:styleId="FPHeading1">
    <w:name w:val="FP Heading 1"/>
    <w:basedOn w:val="Normal"/>
    <w:rsid w:val="00CF5694"/>
    <w:pPr>
      <w:widowControl w:val="0"/>
      <w:pBdr>
        <w:bottom w:val="single" w:sz="4" w:space="5" w:color="auto"/>
      </w:pBdr>
      <w:spacing w:line="300" w:lineRule="exact"/>
      <w:ind w:left="680"/>
    </w:pPr>
    <w:rPr>
      <w:rFonts w:ascii="Arial" w:eastAsia="Times New Roman" w:hAnsi="Arial" w:cs="Times New Roman"/>
      <w:b/>
      <w:szCs w:val="20"/>
    </w:rPr>
  </w:style>
  <w:style w:type="paragraph" w:customStyle="1" w:styleId="FPHeading2">
    <w:name w:val="FP Heading 2"/>
    <w:basedOn w:val="Normal"/>
    <w:rsid w:val="00CF5694"/>
    <w:pPr>
      <w:widowControl w:val="0"/>
      <w:spacing w:line="680" w:lineRule="exact"/>
      <w:ind w:left="680"/>
    </w:pPr>
    <w:rPr>
      <w:rFonts w:ascii="Arial" w:eastAsia="Times New Roman" w:hAnsi="Arial" w:cs="Times New Roman"/>
      <w:b/>
      <w:sz w:val="60"/>
      <w:szCs w:val="20"/>
    </w:rPr>
  </w:style>
  <w:style w:type="paragraph" w:customStyle="1" w:styleId="FPHeading3">
    <w:name w:val="FP Heading 3"/>
    <w:basedOn w:val="Normal"/>
    <w:rsid w:val="00CF5694"/>
    <w:pPr>
      <w:widowControl w:val="0"/>
      <w:spacing w:after="1246" w:line="760" w:lineRule="exact"/>
      <w:ind w:left="680"/>
    </w:pPr>
    <w:rPr>
      <w:rFonts w:ascii="Arial" w:eastAsia="Times New Roman" w:hAnsi="Arial" w:cs="Times New Roman"/>
      <w:sz w:val="60"/>
      <w:szCs w:val="20"/>
    </w:rPr>
  </w:style>
  <w:style w:type="paragraph" w:customStyle="1" w:styleId="FPHeading5">
    <w:name w:val="FP Heading 5"/>
    <w:basedOn w:val="FPHeading1"/>
    <w:rsid w:val="00CF5694"/>
    <w:pPr>
      <w:spacing w:line="480" w:lineRule="exact"/>
    </w:pPr>
    <w:rPr>
      <w:b w:val="0"/>
      <w:sz w:val="40"/>
    </w:rPr>
  </w:style>
  <w:style w:type="paragraph" w:styleId="NoSpacing">
    <w:name w:val="No Spacing"/>
    <w:uiPriority w:val="99"/>
    <w:qFormat/>
    <w:rsid w:val="00F57149"/>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2A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27C"/>
    <w:rPr>
      <w:sz w:val="16"/>
      <w:szCs w:val="16"/>
    </w:rPr>
  </w:style>
  <w:style w:type="paragraph" w:styleId="CommentText">
    <w:name w:val="annotation text"/>
    <w:basedOn w:val="Normal"/>
    <w:link w:val="CommentTextChar"/>
    <w:uiPriority w:val="99"/>
    <w:semiHidden/>
    <w:unhideWhenUsed/>
    <w:rsid w:val="0095627C"/>
    <w:rPr>
      <w:sz w:val="20"/>
      <w:szCs w:val="20"/>
    </w:rPr>
  </w:style>
  <w:style w:type="character" w:customStyle="1" w:styleId="CommentTextChar">
    <w:name w:val="Comment Text Char"/>
    <w:basedOn w:val="DefaultParagraphFont"/>
    <w:link w:val="CommentText"/>
    <w:uiPriority w:val="99"/>
    <w:semiHidden/>
    <w:rsid w:val="0095627C"/>
    <w:rPr>
      <w:rFonts w:ascii="Calibri" w:hAnsi="Calibri" w:cs="Calibri"/>
      <w:sz w:val="20"/>
      <w:szCs w:val="20"/>
    </w:rPr>
  </w:style>
  <w:style w:type="character" w:styleId="Hyperlink">
    <w:name w:val="Hyperlink"/>
    <w:basedOn w:val="DefaultParagraphFont"/>
    <w:uiPriority w:val="99"/>
    <w:unhideWhenUsed/>
    <w:rsid w:val="0095627C"/>
    <w:rPr>
      <w:color w:val="0000FF" w:themeColor="hyperlink"/>
      <w:u w:val="single"/>
    </w:rPr>
  </w:style>
  <w:style w:type="table" w:customStyle="1" w:styleId="TableGrid2">
    <w:name w:val="Table Grid2"/>
    <w:basedOn w:val="TableNormal"/>
    <w:next w:val="TableGrid"/>
    <w:uiPriority w:val="59"/>
    <w:rsid w:val="001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3F27"/>
    <w:rPr>
      <w:sz w:val="20"/>
      <w:szCs w:val="20"/>
    </w:rPr>
  </w:style>
  <w:style w:type="character" w:customStyle="1" w:styleId="FootnoteTextChar">
    <w:name w:val="Footnote Text Char"/>
    <w:basedOn w:val="DefaultParagraphFont"/>
    <w:link w:val="FootnoteText"/>
    <w:uiPriority w:val="99"/>
    <w:semiHidden/>
    <w:rsid w:val="00B53F27"/>
    <w:rPr>
      <w:rFonts w:ascii="Calibri" w:hAnsi="Calibri" w:cs="Calibri"/>
      <w:sz w:val="20"/>
      <w:szCs w:val="20"/>
    </w:rPr>
  </w:style>
  <w:style w:type="character" w:styleId="FootnoteReference">
    <w:name w:val="footnote reference"/>
    <w:basedOn w:val="DefaultParagraphFont"/>
    <w:uiPriority w:val="99"/>
    <w:semiHidden/>
    <w:unhideWhenUsed/>
    <w:rsid w:val="00B53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496">
      <w:bodyDiv w:val="1"/>
      <w:marLeft w:val="0"/>
      <w:marRight w:val="0"/>
      <w:marTop w:val="0"/>
      <w:marBottom w:val="0"/>
      <w:divBdr>
        <w:top w:val="none" w:sz="0" w:space="0" w:color="auto"/>
        <w:left w:val="none" w:sz="0" w:space="0" w:color="auto"/>
        <w:bottom w:val="none" w:sz="0" w:space="0" w:color="auto"/>
        <w:right w:val="none" w:sz="0" w:space="0" w:color="auto"/>
      </w:divBdr>
    </w:div>
    <w:div w:id="253170316">
      <w:bodyDiv w:val="1"/>
      <w:marLeft w:val="0"/>
      <w:marRight w:val="0"/>
      <w:marTop w:val="0"/>
      <w:marBottom w:val="0"/>
      <w:divBdr>
        <w:top w:val="none" w:sz="0" w:space="0" w:color="auto"/>
        <w:left w:val="none" w:sz="0" w:space="0" w:color="auto"/>
        <w:bottom w:val="none" w:sz="0" w:space="0" w:color="auto"/>
        <w:right w:val="none" w:sz="0" w:space="0" w:color="auto"/>
      </w:divBdr>
    </w:div>
    <w:div w:id="407310076">
      <w:bodyDiv w:val="1"/>
      <w:marLeft w:val="0"/>
      <w:marRight w:val="0"/>
      <w:marTop w:val="0"/>
      <w:marBottom w:val="0"/>
      <w:divBdr>
        <w:top w:val="none" w:sz="0" w:space="0" w:color="auto"/>
        <w:left w:val="none" w:sz="0" w:space="0" w:color="auto"/>
        <w:bottom w:val="none" w:sz="0" w:space="0" w:color="auto"/>
        <w:right w:val="none" w:sz="0" w:space="0" w:color="auto"/>
      </w:divBdr>
    </w:div>
    <w:div w:id="477504696">
      <w:bodyDiv w:val="1"/>
      <w:marLeft w:val="0"/>
      <w:marRight w:val="0"/>
      <w:marTop w:val="0"/>
      <w:marBottom w:val="0"/>
      <w:divBdr>
        <w:top w:val="none" w:sz="0" w:space="0" w:color="auto"/>
        <w:left w:val="none" w:sz="0" w:space="0" w:color="auto"/>
        <w:bottom w:val="none" w:sz="0" w:space="0" w:color="auto"/>
        <w:right w:val="none" w:sz="0" w:space="0" w:color="auto"/>
      </w:divBdr>
    </w:div>
    <w:div w:id="670067425">
      <w:bodyDiv w:val="1"/>
      <w:marLeft w:val="0"/>
      <w:marRight w:val="0"/>
      <w:marTop w:val="0"/>
      <w:marBottom w:val="0"/>
      <w:divBdr>
        <w:top w:val="none" w:sz="0" w:space="0" w:color="auto"/>
        <w:left w:val="none" w:sz="0" w:space="0" w:color="auto"/>
        <w:bottom w:val="none" w:sz="0" w:space="0" w:color="auto"/>
        <w:right w:val="none" w:sz="0" w:space="0" w:color="auto"/>
      </w:divBdr>
    </w:div>
    <w:div w:id="735400363">
      <w:bodyDiv w:val="1"/>
      <w:marLeft w:val="0"/>
      <w:marRight w:val="0"/>
      <w:marTop w:val="0"/>
      <w:marBottom w:val="0"/>
      <w:divBdr>
        <w:top w:val="none" w:sz="0" w:space="0" w:color="auto"/>
        <w:left w:val="none" w:sz="0" w:space="0" w:color="auto"/>
        <w:bottom w:val="none" w:sz="0" w:space="0" w:color="auto"/>
        <w:right w:val="none" w:sz="0" w:space="0" w:color="auto"/>
      </w:divBdr>
    </w:div>
    <w:div w:id="823471122">
      <w:bodyDiv w:val="1"/>
      <w:marLeft w:val="0"/>
      <w:marRight w:val="0"/>
      <w:marTop w:val="0"/>
      <w:marBottom w:val="0"/>
      <w:divBdr>
        <w:top w:val="none" w:sz="0" w:space="0" w:color="auto"/>
        <w:left w:val="none" w:sz="0" w:space="0" w:color="auto"/>
        <w:bottom w:val="none" w:sz="0" w:space="0" w:color="auto"/>
        <w:right w:val="none" w:sz="0" w:space="0" w:color="auto"/>
      </w:divBdr>
    </w:div>
    <w:div w:id="1068725843">
      <w:bodyDiv w:val="1"/>
      <w:marLeft w:val="0"/>
      <w:marRight w:val="0"/>
      <w:marTop w:val="0"/>
      <w:marBottom w:val="0"/>
      <w:divBdr>
        <w:top w:val="none" w:sz="0" w:space="0" w:color="auto"/>
        <w:left w:val="none" w:sz="0" w:space="0" w:color="auto"/>
        <w:bottom w:val="none" w:sz="0" w:space="0" w:color="auto"/>
        <w:right w:val="none" w:sz="0" w:space="0" w:color="auto"/>
      </w:divBdr>
    </w:div>
    <w:div w:id="1141310897">
      <w:bodyDiv w:val="1"/>
      <w:marLeft w:val="0"/>
      <w:marRight w:val="0"/>
      <w:marTop w:val="0"/>
      <w:marBottom w:val="0"/>
      <w:divBdr>
        <w:top w:val="none" w:sz="0" w:space="0" w:color="auto"/>
        <w:left w:val="none" w:sz="0" w:space="0" w:color="auto"/>
        <w:bottom w:val="none" w:sz="0" w:space="0" w:color="auto"/>
        <w:right w:val="none" w:sz="0" w:space="0" w:color="auto"/>
      </w:divBdr>
    </w:div>
    <w:div w:id="1393770214">
      <w:bodyDiv w:val="1"/>
      <w:marLeft w:val="0"/>
      <w:marRight w:val="0"/>
      <w:marTop w:val="0"/>
      <w:marBottom w:val="0"/>
      <w:divBdr>
        <w:top w:val="none" w:sz="0" w:space="0" w:color="auto"/>
        <w:left w:val="none" w:sz="0" w:space="0" w:color="auto"/>
        <w:bottom w:val="none" w:sz="0" w:space="0" w:color="auto"/>
        <w:right w:val="none" w:sz="0" w:space="0" w:color="auto"/>
      </w:divBdr>
    </w:div>
    <w:div w:id="1401903547">
      <w:bodyDiv w:val="1"/>
      <w:marLeft w:val="0"/>
      <w:marRight w:val="0"/>
      <w:marTop w:val="0"/>
      <w:marBottom w:val="0"/>
      <w:divBdr>
        <w:top w:val="none" w:sz="0" w:space="0" w:color="auto"/>
        <w:left w:val="none" w:sz="0" w:space="0" w:color="auto"/>
        <w:bottom w:val="none" w:sz="0" w:space="0" w:color="auto"/>
        <w:right w:val="none" w:sz="0" w:space="0" w:color="auto"/>
      </w:divBdr>
    </w:div>
    <w:div w:id="1422216066">
      <w:bodyDiv w:val="1"/>
      <w:marLeft w:val="0"/>
      <w:marRight w:val="0"/>
      <w:marTop w:val="0"/>
      <w:marBottom w:val="0"/>
      <w:divBdr>
        <w:top w:val="none" w:sz="0" w:space="0" w:color="auto"/>
        <w:left w:val="none" w:sz="0" w:space="0" w:color="auto"/>
        <w:bottom w:val="none" w:sz="0" w:space="0" w:color="auto"/>
        <w:right w:val="none" w:sz="0" w:space="0" w:color="auto"/>
      </w:divBdr>
    </w:div>
    <w:div w:id="207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hyperlink" Target="http://www.lewisham.gov.uk/getinvolved/environment/energyefficiency/taking-the-lead/Documents/Sustainable%20Seafood%20Commitment.pdf" TargetMode="External"/><Relationship Id="rId3" Type="http://schemas.openxmlformats.org/officeDocument/2006/relationships/customXml" Target="../customXml/item3.xml"/><Relationship Id="rId21" Type="http://schemas.openxmlformats.org/officeDocument/2006/relationships/hyperlink" Target="http://councilmeetings.lewisham.gov.uk/documents/s30270/Energy%20Policy%20Appendix.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www.lewisham.gov.uk/myservices/business/tendersandcontracts/Documents/SustainableTimberPolicy.pdf" TargetMode="External"/><Relationship Id="rId2" Type="http://schemas.openxmlformats.org/officeDocument/2006/relationships/customXml" Target="../customXml/item2.xml"/><Relationship Id="rId16" Type="http://schemas.openxmlformats.org/officeDocument/2006/relationships/image" Target="cid:image001.jpg@01D04771.915E3050" TargetMode="External"/><Relationship Id="rId20" Type="http://schemas.openxmlformats.org/officeDocument/2006/relationships/hyperlink" Target="http://www.lewisham.gov.uk/getinvolved/environment/energyefficiency/Documents/140908%20Use%20of%20Resources%201314.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ewisham.gov.uk/myservices/business/tendersandcontracts/procurement/Documents/PublicServicesSocialValuePolicy.pdf"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lewisham.gov.uk/myservices/business/tendersandcontracts/Documents/CodeofPracticeContractors.pdf"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lewisham.gov.uk/getinvolved/environment/energyefficiency/Documents/Our%20commitment%20to%20the%20environment.pdf" TargetMode="External"/><Relationship Id="rId31" Type="http://schemas.openxmlformats.org/officeDocument/2006/relationships/theme" Target="theme/theme1.xml"/><Relationship Id="rId30"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ls/C5/Procurement/Document%20Library/LewishamSustainableProcurementStrategy2012-2016.doc" TargetMode="External"/><Relationship Id="rId27" Type="http://schemas.openxmlformats.org/officeDocument/2006/relationships/hyperlink" Target="http://ls/C10/C8/Procurement%20Documents%20Library/Document%20Library/SustainableProcurementToolkit2014.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fdda5f6-c181-4cb8-b7eb-3bb15bb8ffbe" ContentTypeId="0x010100ACC6958D13AA7C4BAEDB1389080A0C5F" PreviousValue="false"/>
</file>

<file path=customXml/item6.xml><?xml version="1.0" encoding="utf-8"?>
<ct:contentTypeSchema xmlns:ct="http://schemas.microsoft.com/office/2006/metadata/contentType" xmlns:ma="http://schemas.microsoft.com/office/2006/metadata/properties/metaAttributes" ct:_="" ma:_="" ma:contentTypeName="LBL Document" ma:contentTypeID="0x010100ACC6958D13AA7C4BAEDB1389080A0C5F00C86D44D5940A2C41A26636C26827BDC4" ma:contentTypeVersion="33" ma:contentTypeDescription="Base content type for all documents stored on the Lewisham website" ma:contentTypeScope="" ma:versionID="96712030490defe1bddc2ba48b2d6ce5">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771c91297a21034769e65213a646fd6"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64A7D-F762-4920-8215-FD99BEB31B38}"/>
</file>

<file path=customXml/itemProps2.xml><?xml version="1.0" encoding="utf-8"?>
<ds:datastoreItem xmlns:ds="http://schemas.openxmlformats.org/officeDocument/2006/customXml" ds:itemID="{F4890724-6435-45AE-A2D1-55413AD8AA17}"/>
</file>

<file path=customXml/itemProps3.xml><?xml version="1.0" encoding="utf-8"?>
<ds:datastoreItem xmlns:ds="http://schemas.openxmlformats.org/officeDocument/2006/customXml" ds:itemID="{4C9B51FD-3BCD-4116-BA92-0391BE4F9A7A}"/>
</file>

<file path=customXml/itemProps4.xml><?xml version="1.0" encoding="utf-8"?>
<ds:datastoreItem xmlns:ds="http://schemas.openxmlformats.org/officeDocument/2006/customXml" ds:itemID="{AA764A7D-F762-4920-8215-FD99BEB31B38}">
  <ds:schemaRefs>
    <ds:schemaRef ds:uri="http://schemas.microsoft.com/sharepoint/v3/contenttype/forms"/>
  </ds:schemaRefs>
</ds:datastoreItem>
</file>

<file path=customXml/itemProps5.xml><?xml version="1.0" encoding="utf-8"?>
<ds:datastoreItem xmlns:ds="http://schemas.openxmlformats.org/officeDocument/2006/customXml" ds:itemID="{8A7D2157-378F-4FC4-B442-24B01EE3FD12}"/>
</file>

<file path=customXml/itemProps6.xml><?xml version="1.0" encoding="utf-8"?>
<ds:datastoreItem xmlns:ds="http://schemas.openxmlformats.org/officeDocument/2006/customXml" ds:itemID="{4FAA6CD6-540D-4302-9D41-C7986DD8B346}"/>
</file>

<file path=docProps/app.xml><?xml version="1.0" encoding="utf-8"?>
<Properties xmlns="http://schemas.openxmlformats.org/officeDocument/2006/extended-properties" xmlns:vt="http://schemas.openxmlformats.org/officeDocument/2006/docPropsVTypes">
  <Template>Normal</Template>
  <TotalTime>0</TotalTime>
  <Pages>40</Pages>
  <Words>17711</Words>
  <Characters>100957</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London Borough of Lewisham</Company>
  <LinksUpToDate>false</LinksUpToDate>
  <CharactersWithSpaces>118432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Asset Management Plan 2015-20</dc:title>
  <dc:creator>O'Brien, Martin</dc:creator>
  <cp:lastModifiedBy>O'Brien, Martin</cp:lastModifiedBy>
  <cp:revision>2</cp:revision>
  <cp:lastPrinted>2014-10-06T11:39:00Z</cp:lastPrinted>
  <dcterms:created xsi:type="dcterms:W3CDTF">2015-03-30T08:56:00Z</dcterms:created>
  <dcterms:modified xsi:type="dcterms:W3CDTF">2015-03-30T08:56:00Z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0x010100ACC6958D13AA7C4BAEDB1389080A0C5F00C86D44D5940A2C41A26636C26827BDC4</vt:lpwstr>
  </property>
</Properties>
</file>